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F-8315/2025 vom 10. November 2025</w:t>
      </w:r>
    </w:p>
    <w:p>
      <w:r>
        <w:t>Bundesverwaltungsgericht, 2025-11-10, DE</w:t>
      </w:r>
    </w:p>
    <w:p>
      <w:r>
        <w:rPr>
          <w:b/>
        </w:rPr>
        <w:t xml:space="preserve">Quelle: </w:t>
      </w:r>
      <w:r>
        <w:t>https://mcp.opencaselaw.ch/entscheid/bvger_F-8315_2025</w:t>
      </w:r>
    </w:p>
    <w:p>
      <w:r>
        <w:t>FR: TAF F-8315/2025 du 10 novembre 2025</w:t>
      </w:r>
    </w:p>
    <w:p>
      <w:r>
        <w:t>IT: TAF F-8315/2025 del 10 novembre 2025</w:t>
      </w:r>
    </w:p>
    <w:p>
      <w:pPr>
        <w:pStyle w:val="Heading2"/>
      </w:pPr>
      <w:r>
        <w:t>Regeste</w:t>
      </w:r>
    </w:p>
    <w:p>
      <w:r>
        <w:t>Nichteintreten auf Asylgesuch und Wegweisung (Dublin-Verfahren - Art. 31a Abs. 1 Bst. b AsylG)</w:t>
      </w:r>
    </w:p>
    <w:p>
      <w:pPr>
        <w:pStyle w:val="Heading2"/>
      </w:pPr>
      <w:r>
        <w:t>Erwägungen</w:t>
      </w:r>
    </w:p>
    <w:p>
      <w:r>
        <w:rPr>
          <w:b/>
        </w:rPr>
        <w:t>E. 2.1</w:t>
      </w:r>
    </w:p>
    <w:p>
      <w:r>
        <w:t>Die Vorinstanz hat korrekt erwogen, dass gemäss Art. 20 Abs. 5 Dublin-III-VO grundsätzlich Kroatien für die Behandlung des Asylgesuchs der Beschwerdeführerin zuständig ist, dass das kroatische Asylsystem rechtsprechungsgemäss keine systemischen Mängel aufweist, aufgrund derer die Zuständigkeit gemäss Art. 3 Abs. 2 Dublin-III-VO auf die Schweiz überginge (vgl. Referenzurteil E-1488/2020 vom 22. März 2023 E. 9.5), und dass vorliegend keine völkerrechtlichen Vollzugshindernisse ersichtlich sind, welche die Schweiz zu einem Selbsteintritt nach Art. 17 Abs. 1 Dublin-III-VO verpflichten würden. Dabei hat sie insbesondere die Vorbringen der Beschwerdeführerin im Hinblick auf die schlechte Behandlung seitens der kroatischen Behörden (Abnahme der Fingerabdrücke unter Zwang, rechtswidrige Behandlung, Push-backs, Zugang zu Rechtsmitteln, Lebensbedingungen in Kroatien sowie Zugang zur medizinischen Versorgung) berücksichtigt und rechtsprechungskonform gewürdigt. Des Weiteren hat die Vorinstanz korrekt erwogen, dass sich aus der Anwesenheit ihres angeblichen Ehemannes, nicht zuletzt angesichts des fehlenden Nachweises einer religiösen Trauung, der Dauer sowie Ernsthaftigkeit der angeblichen Beziehung sowie aufgrund des fehlenden Abhängigkeitsverhältnisses, keine Zuständigkeit der Schweiz ableiten lässt (weder nach Art. 2 Bst. g, Art. 9 und Art. 16 Abs. 1 Dublin-III-VO noch nach Art. 8. EMRK). Darüber hinaus hat die Vorinstanz in rechtsfehlerfreier Ausübung des ihr nach Art. 17 Abs. 1 Dublin-III-VO und Art. 29a Abs. 3 AsylV 1 zukommenden Ermessens von einem freiwilligen Selbsteintritt der Schweiz abgesehen. Sie ist demnach zu Recht in Anwendung von Art. 31a Abs. 1 Bst. b AsylG auf das Asylgesuch der Beschwerdeführerin nicht eingetreten und hat in Anwendung von Art. 44 AsylG deren Wegweisung nach Kroatien angeordnet. Zur näheren Begründung wird auf die ausführlichen Erwägungen der Vorinstanz verwiesen.</w:t>
      </w:r>
    </w:p>
    <w:p>
      <w:r>
        <w:rPr>
          <w:b/>
        </w:rPr>
        <w:t>E. 2.2</w:t>
      </w:r>
    </w:p>
    <w:p>
      <w:r>
        <w:t>Was die Beschwerdeführerin auf Rechtsmittelebene vorbringt, vermag an der Richtigkeit der angefochtenen Verfügung nichts zu ändern. Die von ihr wiedergegebenen Urteile deutscher Gerichte (welche das Bundesverwaltungsgericht ohnehin nicht binden) und die Berichte von Nichtregierungsorganisationen zur Situation von Asylsuchenden in Kroatien, zu den Push-backs, zur Polizeigewalt, zu fehlenden wirksamen Rechtsmitteln, zur Gesundheitsversorgung sowie zum Refoulement-Verbot vermögen keine systemischen Mängel im Sinne von Art. 3 Abs. 2 Dublin-III-VO zu belegen. Für eine Änderung der Rechtsprechung (zu den Voraussetzungen: BGE 147 V 342 E. 5.5.1 m.w.H.) besteht in Würdigung der Äusserungen der Beschwerdeführerin keine Veranlassung. Es ist demnach davon auszugehen, dass Gesuchstellende, welche gestützt auf die Dublin-III-VO nach Kroatien überstellt werden, Zugang zum dortigen Asylverfahren erhalten und Kroatien die Sicherheit gestützt auf die Dublin-III-VO überstellter Personen garantiert und deren Rechte gemäss dem internationalen Recht einhält (siehe E. 2.1 hiervor). Die von der Beschwerdeführerin geltend gemachte Verletzung des Rechts auf Familienleben bringt ebenfalls keine neuen Aspekte mit sich. Die auf Beschwerdeebene einegereichten Beweismittel zur Dauerhaftigkeit der Beziehung und zum Ehevorbereitungsverfahren vermögen als Nachweis einer tatsächlich gelebten Beziehung nicht zu überzeugen. Die rudimentären Angaben lassen kaum Rückschlüsse auf die Dauer oder Intensität der Beziehung zu. Darüber hinaus ist nicht nachvollziehbar, weshalb die Beschwerdeführerin im Asylverfahren des angeblichen Ehemannes unerwähnt geblieben ist. Vor diesem Hintergrund ist keine dauerhafte Beziehung eheähnlicher Intensität anzunehmen, die vom Schutzbereich von Art. 8 Abs. 1 EMRK erfasst wäre. Das Ehevorbereitungsverfahren kann ohne weiteres im Ausland abgewartet und der Kontakt wie bis anhin über die modernen Kommunikationsmittel aufrechterhalten werden.</w:t>
      </w:r>
    </w:p>
    <w:p>
      <w:r>
        <w:rPr>
          <w:b/>
        </w:rPr>
        <w:t>E. 2.3</w:t>
      </w:r>
    </w:p>
    <w:p>
      <w:r>
        <w:t>Auch die Rüge, die Vorinstanz habe es versäumt, die Gesuchsgründe individuell und geschlechtsspezifisch im Hinblick auf Kroatien zu beurteilen und dadurch Art. 2 (c), (d), (e), (f) und 3 des Übereinkommens zur Beseitigung jeder Form von Diskriminierung der Frau (CEDAW [SR 0.108]) verletzt, erweist sich als unbegründet. Die Beschwerdeführerin selbst hat im Verlauf des Verfahrens vor der Vorinstanz keine geschlechtsspezifischen Beanstandungen gemacht und es ist nicht ersichtlich, in welcher Hinsicht hier die Vorinstanz weitere Abklärungen hätte tätigen sollen. Zudem erhielt sie im Rahmen des am 20. Oktober 2025 anlässlich des Dublin-Gesprächs gewährten rechtlichen Gehörs die Möglichkeit, sich zu allfälligen Wegweisungsvollzugshindernissen zu äussern, wovon sie Gebrauch gemacht hat. Der Eventualantrag auf Rückweisung der Sache an die Vorinstanz ist abzuweisen.</w:t>
      </w:r>
    </w:p>
    <w:p>
      <w:r>
        <w:rPr>
          <w:b/>
        </w:rPr>
        <w:t>E. 2.4</w:t>
      </w:r>
    </w:p>
    <w:p>
      <w:r>
        <w:t>Das Bundesverwaltungsgericht geht in seiner Praxis davon aus, dass die schweizerischen Behörden bei den kroatischen Behörden in der Regel keine individuellen Zusicherungen bezüglich des Zugangs zu adäquater Unterbringung, Betreuung und medizinischer Versorgung einzuholen haben (vgl. Referenzurteil E-1488/2020 vom 22. März 2023 E. 12). Das entsprechende Subeventualbegehren ist ebenfalls abzuweisen.</w:t>
      </w:r>
    </w:p>
    <w:p>
      <w:r>
        <w:rPr>
          <w:b/>
        </w:rPr>
        <w:t>E. 2.5</w:t>
      </w:r>
    </w:p>
    <w:p>
      <w:r>
        <w:t>Hinsichtlich des Antrags der Beschwerdeführerin, es sei das Verfahren mit demjenigen ihres angeblichen Ehemannes gemäss Art. 8 EMRK i.V.m. Art. 9 Dublin-III-VO zu vereinigen, wird festgehalten, dass beim Bundesverwaltungsgericht kein Verfahren des angeblichen Ehemannes hängig ist, weshalb auf den Antrag nicht einzutreten ist.</w:t>
      </w:r>
    </w:p>
    <w:p>
      <w:r>
        <w:rPr>
          <w:b/>
        </w:rPr>
        <w:t>E. 3</w:t>
      </w:r>
    </w:p>
    <w:p>
      <w:r>
        <w:t>Nach dem Gesagten ist die angefochtene Verfügung nicht zu beanstanden (Art. 106 AsylG) und die Beschwerde ist abzuweisen.</w:t>
      </w:r>
    </w:p>
    <w:p>
      <w:r>
        <w:rPr>
          <w:b/>
        </w:rPr>
        <w:t>E. 4</w:t>
      </w:r>
    </w:p>
    <w:p>
      <w:r>
        <w:t>Mit vorliegendem Urteil fällt der am 30. Oktober 2025 angeordnete Vollzugsstopp dahin und das Gesuch um Erteilung der aufschiebenden Wirkung wird gegenstandslos.</w:t>
      </w:r>
    </w:p>
    <w:p>
      <w:r>
        <w:rPr>
          <w:b/>
        </w:rPr>
        <w:t>E. 5.1</w:t>
      </w:r>
    </w:p>
    <w:p>
      <w:r>
        <w:t>Die Begehren erweisen sich als aussichtslos, weshalb das Gesuch um unentgeltliche Rechtspflege (Art. 65. Abs. 1 und Abs. 2 VwVG) abzuweisen ist.</w:t>
      </w:r>
    </w:p>
    <w:p>
      <w:r>
        <w:rPr>
          <w:b/>
        </w:rPr>
        <w:t>E. 5.2</w:t>
      </w:r>
    </w:p>
    <w:p>
      <w:r>
        <w:t>Bei diesem Ausgang des Verfahrens sind die Kosten der unterliegenden Beschwerdeführerin aufzuerlegen (Art. 63 Abs. 1 VwVG) und auf insgesamt Fr. 750.- festzusetzen (Art. 1-3 des Reglements vom 21. Februar 2008 über die Kosten und Entschädigungen vor dem Bundesverwaltungsgericht [VGKE, SR 173.320.2]).</w:t>
      </w:r>
    </w:p>
    <w:p>
      <w:r>
        <w:rPr>
          <w:b/>
        </w:rPr>
        <w:t>E. 6</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