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F-82/2020 vom 10. August 2021</w:t>
      </w:r>
    </w:p>
    <w:p>
      <w:r>
        <w:t>Bundesverwaltungsgericht, 2021-08-10, DE</w:t>
      </w:r>
    </w:p>
    <w:p>
      <w:r>
        <w:rPr>
          <w:b/>
        </w:rPr>
        <w:t xml:space="preserve">Quelle: </w:t>
      </w:r>
      <w:r>
        <w:t>https://mcp.opencaselaw.ch/entscheid/bvger_F-82_2020</w:t>
      </w:r>
    </w:p>
    <w:p>
      <w:r>
        <w:t>FR: TAF F-82/2020 du 10 août 2021</w:t>
      </w:r>
    </w:p>
    <w:p>
      <w:r>
        <w:t>IT: TAF F-82/2020 del 10 agosto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Vorab ist auf die sinngemässe Rüge des Beschwerdeführers einzugehen, die Vorinstanz sei ihrer Begründungspflicht nicht nachgekommen, da seine Stellungnahme vom 27. November 2019 zum beabsichtigten Einreiseverbot in der angefochtenen Verfügung gänzlich unerwähnt geblieben sei.</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Diesen Anforderungen wird die Begründung der angefochtenen Verfügung ohne Weiteres gerecht. Die Vorinstanz legt verständlich dar, weshalb der Beschwerdeführer aus dem bisherigen Wohlverhalten seit seiner Haftentlassung aus ausländerrechtlicher Sicht heute und in den nächsten Jahren als Risikofaktor für die öffentliche Sicherheit und Ordnung betrachtet werden muss. Schliesslich macht das SEM ausreichend klar, dass und aus welchen Gründen die vom Beschwerdeführer vorgebrachten privaten Interessen gegenüber dem öffentlichen Interesse an seiner Fernhaltung zurückzustehen haben. Zu beachten ist, dass im Rahmen des ausländerrechtlichen Verfahrens auf Widerruf der Niederlassungsbewilligung eine sehr ausführliche Güterabwägung vorgenommen worden war, und dem Beschwerdeführer daher klar sein musste, warum die Vorinstanz seinen Argumenten keine entscheidende Bedeutung beimass. Seine Einwände sind daher als unbegründet zurückzuweisen.</w:t>
      </w:r>
    </w:p>
    <w:p>
      <w:r>
        <w:rPr>
          <w:b/>
        </w:rPr>
        <w:t>E. 4.1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einer Fernhaltemassnahme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Soweit Art. 67 Abs. 2 Bst. a AIG mit dem Verstoss gegen die öffentliche Sicherheit und Ordnung an vergangenes Verhalten des Betroffenen anknüpft, steht die Gefahrenabwehr durch Generalprävention im Sinne der Einwirkung auf das Verhalten anderer ausländischer Personen im Vordergrund (vgl. BVGE 2014/20 E. 8.2 m.H und Urteil des BGer 2C_282/2012 vom 31. Juli 2012 E. 2.5 m.H.). Ein Verstoss gegen die öffentliche Sicherheit und Ordnung liegt unter anderem vor, wenn gesetzliche Vorschriften oder behördliche Verfügungen missachtet werden (vgl. Art. 77a Abs. 1 Bst. a der Verordnung vom 24. Oktober 2007 über Zulassung, Aufenthalt und Erwerbstätigkeit [VZAE, SR 142.201]). Bestand ein solches Verhalten in der Vergangenheit, so wird die Gefahr entsprechender künftiger Störungen von Gesetzes wegen vermutet (vgl. Botschaft, a.a.O. S. 3760 sowie Urteil des BVGer F-7649/2016 vom 13. März 2018 E. 3.2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Dabei liegt der Entscheid, ob bei Vorliegen der in Art. 67 Abs. 2 AIG genannten Tatbestände ein Einreiseverbot zu erlassen ist, im pflichtgemässen Ermessen des SEM (Art. 77a Abs. 2 VZAE und Urteil des BVGer F-458/2019 vom 28. November 2019 E. 5.2).</w:t>
      </w:r>
    </w:p>
    <w:p>
      <w:r>
        <w:rPr>
          <w:b/>
        </w:rPr>
        <w:t>E. 5</w:t>
      </w:r>
    </w:p>
    <w:p>
      <w:r>
        <w:t>Die Vorinstanz hat das gegen den Beschwerdeführer verhängte siebenjährige Einreiseverbot in erster Linie mit seiner strafrechtlichen Verurteilung vom 2. Juni 2015 wegen qualifizierter Widerhandlung gegen das Betäubungsmittelgesetz begründet (vgl. Sachverhalt Bst. A.d). Beim Drogendelikt wurde dem Beschwerdeführer vom Strafrichter vorgeworfen, durch die gewerbsmässige Beteiligung am bandenmässigen Drogenhandel mit insgesamt ca. 53 Kilogramm Marihuana einen Umsatz von über Fr. 200'000.- erzielt zu haben. Zusätzlich hielt es das Strafgericht für erwiesen, dass der Beschwerdeführer zumindest als Zwischenhändler im Heroin-Handel rund 700 Gramm Heroingemisch verkauft hat, was denn auch zu einer Freiheitsstrafe von insgesamt sechseinhalb Jahren führte. Ohne auf die zahlreichen Vorstrafen seit 2002 einzugehen (vgl. insb. die detaillierte Aufzählung in der Verfügung des Amtes für Migration und Integration vom 24. September 2018, Bst. B. des Sachverhalts) erwähnte die Vorinstanz in ihrer Verfügung lediglich noch das Urteil des Obergerichts des Kantons Aargau vom 21. April 2015, mit welchem der Beschwerdeführer wegen Hehlerei und mehrfacher Widerhandlung gegen das Waffengesetz (SR 514.54) zu einer Geldstrafe von 160 Tagessätzen verurteilt wurde. Nach dem Gesagten steht damit zweifellos fest, dass der Beschwerdeführer die öffentliche Sicherheit und Ordnung im Sinne von Art. 67 Abs. 2 Bst. a AIG verletzt und einen Fernhaltegrund gesetzt hat.</w:t>
      </w:r>
    </w:p>
    <w:p>
      <w:r>
        <w:rPr>
          <w:b/>
        </w:rPr>
        <w:t>E. 6.1</w:t>
      </w:r>
    </w:p>
    <w:p>
      <w:r>
        <w:t>Die Vorinstanz ist davon ausgegangen, dass ein überwiegendes öffentliches Interesse daran besteht, den Beschwerdeführer länger als fünf Jahre von der Schweiz fernzuhalten. Nachfolgend gilt es somit zu prüfen, ob von diesem eine noch anhaltende schwerwiegende Gefahr für die öffentliche Sicherheit und Ordnung im Sinne von Art. 67 Abs. 3 zweiter Satz AIG ausgeht (vgl. E. 4.1).</w:t>
      </w:r>
    </w:p>
    <w:p>
      <w:r>
        <w:rPr>
          <w:b/>
        </w:rPr>
        <w:t>E. 6.2</w:t>
      </w:r>
    </w:p>
    <w:p>
      <w:r>
        <w:t>Eine schwerwiegende Gefahr für die öffentliche Sicherheit und Ordnung im Sinne von Art. 67 Abs. 3 zweiter Satz AIG setzt mehr voraus als eine einfache Gefährdung nach Art. 67 Abs. 2 Bst. a zweiter Halbsatz AIG. Verlangt wird eine qualifizierte Gefahr, über die nach Massgabe aller Umstände des Einzelfalles zu befinden ist. Eine solche Gefahr darf nicht leichthin angenommen werden. Sie kann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6.3</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vgl. Urteil des BVGer F-7959/2016 vom 3. Juli 2019 E. 4.5 m.H.). Zudem muss bei schweren Straftaten zum Schutz der Öffentlichkeit ausländerrechtlich selbst ein geringes Restrisiko weiterer Beeinträchtigungen der dadurch gefährdeten Rechtsgüter (Gesundheit, Leib und Leben usw.) nicht in Kauf genommen werden (vgl. BGE 139 I 31 E. 2.3.2 m.H.).</w:t>
      </w:r>
    </w:p>
    <w:p>
      <w:r>
        <w:rPr>
          <w:b/>
        </w:rPr>
        <w:t>E. 6.4</w:t>
      </w:r>
    </w:p>
    <w:p>
      <w:r>
        <w:t>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im Vergleich mit den Straf- und Strafvollzugsbehörden strengerer Beurteilungsmassstab (vgl. BGE 137 II 233 E. 5.2.2 m.H.). Der Beschwerdeführer vermag deshalb weder aus dem Bericht der Bewährungshilfe vom 15. Mai 2018 noch mit dem Hinweis, von ihm gehe heute kein Risiko einer künftigen Gefährdung aus, was er seit seiner bedingten Entlassung aus dem Strafvollzug unter Beweis gestellt habe, etwas zu seinen Gunsten abzuleiten.</w:t>
      </w:r>
    </w:p>
    <w:p>
      <w:r>
        <w:rPr>
          <w:b/>
        </w:rPr>
        <w:t>E. 6.5</w:t>
      </w:r>
    </w:p>
    <w:p>
      <w:r>
        <w:t>Nach rechtskräftigem Abschluss des Verfahrens betreffend Widerruf der Niederlassungsbewilligung und Wegweisung kehrte der Beschwerdeführer im Januar 2020 in sein Heimatland zurück. Obwohl er seit Entlassung aus dem Strafvollzug nicht mehr strafrechtlich in Erscheinung getreten ist, kann aufgrund seiner zahlreichen Vorstrafen sowie der Schwere und Art der begangenen Drogendelikte - Beteiligung am Handel von ca. 53 Kilogramm Marihuana sowie rund 700 Gramm Heroingemisch - eine schwere Gefährdung der öffentlichen Ordnung und Sicherheit nach wie vor nicht ausgeschlossen werden (vgl. zur Hochwertigkeit der involvierten Rechtsgüter und zum strengen Beurteilungsmassstab bei Drogendelikten: BGE 139 I 145 E. 2.5 und BVGer F-7607/2015 vom 25. Juli 2016 E. 6.5). Dabei fällt besonders ins Gewicht, dass sich der Beschwerdeführer, welcher während des Strafverfahrens keine Anzeichen von Reue und Einsicht zeigte, durch die Menge der verkauften Drogen der Gefährdung der Gesundheit vieler Menschen schuldig gemacht und zudem seine Straftaten bandenmässig verübt hat. Ob dem Beschwerdeführer eine gute Legalprognose auszustellen ist, fällt ohnehin nicht massgeblich ins Gewicht, weil bei nicht unter das Freizügigkeitsabkommen (FZA) fallenden Staatsangehörigen - wie erwähnt - auch generalpräventive Gesichtspunkte berücksichtigt werden dürfen (vgl. in diesem Zusammenhang das erwähnte Urteil des BGer 2C_881/2019 E. 2.3). Nach dem Gesagten hat die Vorinstanz demnach zu Recht gegen den Beschwerdeführer gestützt auf Art. 67 Abs. 3 zweiter Satz AIG ein über fünf Jahre dauerndes Einreiseverbot erlassen (vgl. BVGE 2013/4 E. 5.2 und E. 7.2; BGE 139 I 31 E. 2.3.2).</w:t>
      </w:r>
    </w:p>
    <w:p>
      <w:r>
        <w:rPr>
          <w:b/>
        </w:rPr>
        <w:t>E. 7.1</w:t>
      </w:r>
    </w:p>
    <w:p>
      <w:r>
        <w:t>Es bleibt zu prüfen, ob die Dauer der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7.2</w:t>
      </w:r>
    </w:p>
    <w:p>
      <w:r>
        <w:t>Das Einreiseverbot soll in seiner spezialpräventiven Wirkung weitere Straftaten des Beschwerdeführers in der Schweiz sowie im Schengen-Raum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w:t>
      </w:r>
    </w:p>
    <w:p>
      <w:r>
        <w:rPr>
          <w:b/>
        </w:rPr>
        <w:t>E. 7.3</w:t>
      </w:r>
    </w:p>
    <w:p>
      <w:r>
        <w:t>Den öffentlichen Interessen stellt der Beschwerdeführer sein privates Interesse an persönlichen Kontakten zu seinen in der Schweiz lebenden Angehörigen (Ehegattin, minderjähriges Kind, Eltern und Brüder) gegenüber und macht geltend, zu diesen pflege er eine sehr enge Beziehung, was einen Rechtsanspruch gestützt auf Art. 8 EMRK begründe. In diesem Zusammenhang ist vorab festzuhalten, dass die Pflege regelmässiger Kontakte zu seiner Familie bereits am fehlenden Anwesenheitsrecht des Beschwerdeführers in der Schweiz scheitert (vgl. BVGE 2013/4 E. 7.4.1 m.H; Urteil des BVGer C-4240/2014 vom 15. Juli 2015 E. 9.4). Es stellt sich somit die Frage, ob die über die Verweigerung des Aufenthaltsrechts hinausgehende, durch das Einreiseverbot zusätzlich bewirkte Erschwernis vor Art. 8 Ziff. 1 EMRK und Art. 13 Abs. 1 BV standhält.</w:t>
      </w:r>
    </w:p>
    <w:p>
      <w:r>
        <w:rPr>
          <w:b/>
        </w:rPr>
        <w:t>E. 7.3.1</w:t>
      </w:r>
    </w:p>
    <w:p>
      <w:r>
        <w:t>Der Beschwerdeführer hat das bestehende Einreiseverbot durch seine mehrfachen, teils schweren Straftaten über einen längeren Zeitraum hinweg bewusst und selbstverschuldet in Kauf genommen. Er musste davon ausgehen, dass sein Verhalten weitreichende und langfristige Konsequenzen für sich und seine Familie haben wird. Die mit dem Einreiseverbot einhergehende Einschränkung seiner persönlichen Interessen hat der Beschwerdeführer hinzunehmen, zumal diese aufgrund der von ihm ausgehenden schwerwiegenden Gefahr für hohe Rechtsgüter zum Schutz der öffentlichen Sicherheit und Ordnung erforderlich ist (vgl. Art. 8 Abs. 2 EMRK). So anerkennt auch der Europäische Gerichtshof für Menschenrechte (EGMR) - insbesondere im Falle von Betäubungsmitteldelikten - ein berechtigtes Interesse der Vertragsstaaten an einem harten Durchgreifen und einer damit einhergehenden zulässigen Einschränkung des Familienlebens (vgl. Urteile K.M. gegen die Schweiz vom 2. Juni 2015, 6009/10, Ziff. 55, Baghli gegen Frankreich vom 30. November 1999, 34374/97, Ziff. 48 in fine, Mehemi gegen Frankreich vom 26. September 1997, 25017/94, Ziff. 37, je m.w.H.). Das bestehende Einreiseverbot untersagt dem Beschwerdeführer Besuchsaufenthalte bei seiner Familie in der Schweiz zudem nicht gänzlich, ist es ihm doch zumutbar, mittels Gesuch die zeitweilige Suspension der angeordneten Fernhaltemassnahme zu beantragen (Art. 67 Abs. 5 AIG). Ferner stehen ihm in seinem Aufenthaltsstaat diverse Kommunikationsmittel - wie etwa Briefverkehr, E-Mail, Video-telefonie, Telefonate - zur Verfügung, um mit seiner Ehefrau und weiteren Familienangehörigen in Kontakt zu treten (vgl. statt vieler BVGE 2013/4 E. 7.4.3).</w:t>
      </w:r>
    </w:p>
    <w:p>
      <w:r>
        <w:rPr>
          <w:b/>
        </w:rPr>
        <w:t>E. 7.3.2</w:t>
      </w:r>
    </w:p>
    <w:p>
      <w:r>
        <w:t>Das Bundesverwaltungsgericht verkennt auch die Auswirkungen des vorliegenden Einreiseverbots auf das Wohl seines noch minderjährigen Kindes, das vorrangig zu berücksichtigen ist (vgl. Art. 3 Abs. 1 des Übereinkommens vom 20. November 1989 über die Rechte des Kindes [KRK, SR 0.107]), nicht. Das Interesse dieses Kindes, mit beiden Elternteilen Kontakte zu pflegen, bildet dennoch nur einen Gesichtspunkt unter anderen, den es miteinzubeziehen gilt (vgl. BVGE 2014/20 E. 8.3.6). Im vorliegenden Fall kann dem Kindeswohl durch Ferienbesuche im Kosovo sowie - wie oben erwähnt - durch Besuchsaufenthalte des Beschwerdeführers in der Schweiz mittels Suspensionsgesuchen Rechnung getragen werden.</w:t>
      </w:r>
    </w:p>
    <w:p>
      <w:r>
        <w:rPr>
          <w:b/>
        </w:rPr>
        <w:t>E. 7.3.3</w:t>
      </w:r>
    </w:p>
    <w:p>
      <w:r>
        <w:t>Soweit der Beschwerdeführer schliesslich geltend macht, die Fernhaltemassnahme mit Auswirkungen auf den ganzen Schengen-Raum behindere ihn in seiner geschäftlichen Tätigkeit, sei er doch seit 1. Februar 2020 Geschäftsführer für die Zweigniederlassung einer Firma in Zypern, gilt es festzuhalten, dass er sich diese Beeinträchtigung durch sein kriminelles Verhalten als Drogenhändler während seines Aufenthaltes in der Schweiz selber zuzuschreiben hat. Abgesehen davon hat er im Rahmen des fremdenpolizeilichen Widerrufsverfahrens selber angegeben, schon während seiner Inhaftierung hätten auch seine Brüder die Geschäfte in der Schweiz zumindest zufriedenstellend ohne ihn führen können.</w:t>
      </w:r>
    </w:p>
    <w:p>
      <w:r>
        <w:rPr>
          <w:b/>
        </w:rPr>
        <w:t>E. 7.4</w:t>
      </w:r>
    </w:p>
    <w:p>
      <w:r>
        <w:t>Eine wertende Gewichtung der gegenläufigen öffentlichen und privaten Interessen führt das Bundesverwaltungsgericht zum Ergebnis, dass das auf sieben Jahre befristete Einreiseverbot, welches sich bezüglich der Dauer im Vergleich zu ähnlich gelagerten Fällen im unteren Rahmen bewegt, somit fraglos eine verhältnismässige und angemessene Massnahme darstellt.</w:t>
      </w:r>
    </w:p>
    <w:p>
      <w:r>
        <w:rPr>
          <w:b/>
        </w:rPr>
        <w:t>E. 8</w:t>
      </w:r>
    </w:p>
    <w:p>
      <w:r>
        <w:t>Schliesslich verkennt der Beschwerdeführer, dass aufgrund der schweren Gefährdung, die von ihm ausgeht, ein überwiegendes öffentliches Interesse nicht nur für die Schweiz, sondern für sämtliche Schengen-Staaten besteht. Das Einreiseverbot wurde zudem wegen einer strafrechtlichen Verurteilung zu einer Tat ausgesprochen, für welche das Gesetz eine Freiheitsstrafe von einem Jahr oder mehr vorsieht, womit ein Ausschreibungsgrund gemäss Art. 24 Ziff. 2 lit. a SIS-II-Verordnung besteht ([EG] Nr. 1987/2006 vom 20. Dezember 2006 über die Einrichtung, den Betrieb und die Nutzung des Schengener Informationssystems der zweiten Generation [SIS-II], Abl. L 381/4 vom 28.12.2006; Art. 21 der N-SIS-Verordnung vom 8. März 2013 [SR 362.0]). Gründe, welche eine solche Ausschreibung als eine unverhältnismässige Massnahme erscheinen lassen, sind nicht ersichtlich (s. Art. 21 der SIS-II-Verordnung und Urteil des BGer 6B_1178/2019 vom 10. März 2021 E. 4.3 ff. [zur Publikation vorgesehen]).</w:t>
      </w:r>
    </w:p>
    <w:p>
      <w:r>
        <w:rPr>
          <w:b/>
        </w:rPr>
        <w:t>E. 9</w:t>
      </w:r>
    </w:p>
    <w:p>
      <w:r>
        <w:t>Aus diesen Erwägungen ergibt sich, dass die angefochtene Verfügung im Lichte von Art. 49 VwVG nicht zu beanstanden ist. Die Beschwerde ist so-mit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Die Verfahrenskosten von Fr. 1'000.- sind durch den von ihm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