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F-8252/2015 vom 28. Dezember 2016</w:t>
      </w:r>
    </w:p>
    <w:p>
      <w:r>
        <w:t>Bundesverwaltungsgericht, 2016-12-28, FR</w:t>
      </w:r>
    </w:p>
    <w:p>
      <w:r>
        <w:rPr>
          <w:b/>
        </w:rPr>
        <w:t xml:space="preserve">Quelle: </w:t>
      </w:r>
      <w:r>
        <w:t>https://mcp.opencaselaw.ch/entscheid/bvger_F-8252_2015</w:t>
      </w:r>
    </w:p>
    <w:p>
      <w:r>
        <w:t>FR: TAF F-8252/2015 du 28 décembre 2016</w:t>
      </w:r>
    </w:p>
    <w:p>
      <w:r>
        <w:t>IT: TAF F-8252/2015 del 28 dicembre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in casu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w:t>
      </w:r>
    </w:p>
    <w:p>
      <w:r>
        <w:t>En l'espèce, l'intéressé fait valoir une violation de son droit d'être entendu, reprochant au SEM de s'être basé sur les pièces de son dossier pénal pour prononcer à son encontre une mesure administrative d'éloignement du territoire suisse tout comme de l'Espace Schengen. Vu la nature formelle de cette garantie constitutionnelle, dont la violation entraîne en principe l'annulation de la décision attaquée sans égard aux chances de succès du recours sur le fond, ce moyen doit être examiné en premier lieu.</w:t>
      </w:r>
    </w:p>
    <w:p>
      <w:r>
        <w:rPr>
          <w:b/>
        </w:rPr>
        <w:t>E. 3.1</w:t>
      </w:r>
    </w:p>
    <w:p>
      <w:r>
        <w:t>Le droit d'être entendu, inscrit à l'art. 29 al. 2 Cst., comprend notamment le droit de faire administrer des preuves et de participer à leur administration et le droit d'obtenir une décision motivée (cf. art. 25 à 33 et 35 PA). Concernant le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 Le devoir de motivation est plus accru lorsque l'autorité dispose d'une marge de manoeuvre et lorsque l'état des faits et la situation juridique sont complexes (cf. ATF 137 II 266 consid. 3.2; ATF 136 I 229 consid. 5.2; ATF 133 I 270 consid. 3.1; ATAF 2012/24 consid. 3.2.1). En vertu de l'art. 32 al. 1 PA, l'autorité apprécie tous les allégués importants qu'une partie a avancés en temps utile avant de prendre sa décision. La motivation doit être d'autant plus détaillée que les parties ont fait valoir leur point de vue de manière circonstanciée (cf. Lorenz Kneubühler in : Auer/Müller/Schindler (éd.), VwVG, Kommentar zum Bundesgesetz über das Verwaltungsverfahren, 2008, art. 35 n° 15).</w:t>
      </w:r>
    </w:p>
    <w:p>
      <w:r>
        <w:rPr>
          <w:b/>
        </w:rPr>
        <w:t>E. 3.2</w:t>
      </w:r>
    </w:p>
    <w:p>
      <w:r>
        <w:t>Corollairement, en application de la maxime inquisitoire ancrée à l'art.12 PA, l'autorité administrative doit s'attacher à établir l'état de fait de manière correcte, complète et objective, afin de découvrir la réalité matérielle. Cette maxime oblige notamment l'autorité compétente à établir les faits décisifs pour la décision à rendre et à rechercher les éléments tant favorables que défavorables à la cause de l'administré ou du justiciable, en ordonnant l'administration des moyens de preuve dont elle dispose légalement (cf. notamment ATAF 2014/2 consid. 5.4).</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et la jurisprudence citée).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ALFRED KÖLZ et al., Verwaltungsverfahren und Verwaltungsrechtspflege des Bundes, 3ème éd., 2013, ch. 548 à 552 et les références citées).</w:t>
      </w:r>
    </w:p>
    <w:p>
      <w:r>
        <w:rPr>
          <w:b/>
        </w:rPr>
        <w:t>E. 3.4</w:t>
      </w:r>
    </w:p>
    <w:p>
      <w:r>
        <w:t>En l'espèce, la manière de procéder de l'autorité inférieure, à savoir la délégation du droit d'être entendu à la police, correspond à la pratique en la matière et a été jugée conforme au droit à maintes reprises par le Tribunal de céans (cf. parmi d'autres, l'arrêt du TAF C-4489/2013 du 23 janvier 2014 consid. 3.3 et réf. citées). En effet, le procès-verbal d'audition du 7 juillet 2015 signé par le recourant, au cours de laquelle il a pu s'exprimer dans sa langue puisqu'il était assisté d'un interprète et où il a été rendu attentif au fait que son comportement était susceptible d'entraîner le prononcé d'une mesure d'éloignement du territoire suisse, a été transmis à l'autorité inférieure. En principe, ce procédé aboutit ainsi au même résultat que si l'autorité inférieure avait octroyé elle-même le droit d'être entendu par écrit à l'intéressé (ibid).</w:t>
      </w:r>
    </w:p>
    <w:p>
      <w:r>
        <w:rPr>
          <w:b/>
        </w:rPr>
        <w:t>E. 3.5</w:t>
      </w:r>
    </w:p>
    <w:p>
      <w:r>
        <w:t>Aussi, c'est à tort que le recourant invoque une violation de son droit d'être entendu et ce grief doit être écarté.</w:t>
      </w:r>
    </w:p>
    <w:p>
      <w:r>
        <w:rPr>
          <w:b/>
        </w:rPr>
        <w:t>E. 4</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 L' art. 9 al. 1 de l'ordonnance du 24 octobre 2007 relative à l'admission, au séjour et à l'exercice d'une activité lucrative (OASA, RS 142.201)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w:t>
      </w:r>
    </w:p>
    <w:p>
      <w:r>
        <w:rPr>
          <w:b/>
        </w:rPr>
        <w:t>E. 5</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d'entrée(art. 67 al. 5 LEtr).</w:t>
      </w:r>
    </w:p>
    <w:p>
      <w:r>
        <w:rPr>
          <w:b/>
        </w:rPr>
        <w:t>E. 5.1</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arrêts du TAF C-183/2014 du 21 janvier 2016 consid. 3.3.1; C-1325/2014 du 22 octobre 2014 consid. 3.1, et réf. citées).</w:t>
      </w:r>
    </w:p>
    <w:p>
      <w:r>
        <w:rPr>
          <w:b/>
        </w:rPr>
        <w:t>E. 5.2</w:t>
      </w:r>
    </w:p>
    <w:p>
      <w:r>
        <w:t>L'art. 80 OASA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OASA). Une interdiction d'entrée peut notamment être prononcée lorsque l'étranger a violé les prescriptions du droit des étrangers (cf. Message LEtr,p. 3568 ad art. 66 du projet, et art. 80 OASA; arrêt du TAF F-7274/2015 du 16 août 2016 consid. 4.3.3; Zünd / Arquint Hill, Beendigung der Anwesenheit, Entfernung und Fernhaltung, in: Uebersax / Rudin / Hugi Yar/ Geiser [éd.], Ausländerrecht, 2ème éd., 2009, p. 355 ch. 8.80). Selon la jurisprudence, le fait d'entrer, de séjourner ou de travailler en Suisse sans autorisation représente une violation grave des prescriptions de police des étrangers (cf. notamment arrêts du TAF F-7274/2015 consid. 4.3.3;C-6184/2014 du 6 avril 2016 consid. 4.2, et réf. citées).</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F-7274/2015 consid. 4.4; C-183/2014 consid. 3.5; Zünd / Arquint Hill, op. cit., p. 356 ch. 8.80, et réf. citées).</w:t>
      </w:r>
    </w:p>
    <w:p>
      <w:r>
        <w:rPr>
          <w:b/>
        </w:rPr>
        <w:t>E. 6</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6 par. 1 let. d du Règlement (UE) 2016/399 du Parlement européen et du Conseil du 9 mars 2016 concernant un code de l'Union relatif au régime de franchissement des frontières par les personnes [code frontières Schengen]). Seul l'Etat membre signalant est autorisé à modifier, compléter, rectifier, mettre à jour ou effacer les données qu'il a introduites dans le SIS (art. 34 al. 2 et 3 règlement SIS II).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de la Convention d'application de l'accord de Schengen [CAAS, JO L 239 du 22 septembre 2000 pp. 19 à 62]; cf. également l'art. 14 par. 1, en relation avec l'art. 6par. 5 let. c du code frontières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sur ces questions, cf. également les arrêts du TAF C-6801/2010 du 1er avril 2011 consid. 4 et C-1667/2010 du 21 mars 2011 consid. 3.3).</w:t>
      </w:r>
    </w:p>
    <w:p>
      <w:r>
        <w:rPr>
          <w:b/>
        </w:rPr>
        <w:t>E. 7</w:t>
      </w:r>
    </w:p>
    <w:p>
      <w:r>
        <w:t>En l'espèce, l'autorité intimée a prononcé à l'endroit de A._______, ressortissant colombien, une interdiction d'entrée en Suisse d'une durée de 3 ans en application de l'art. 67 LEtr, motif pris que l'intéressé avait attenté à la sécurité et l'ordre publics, d'une part en séjournant illégalement dans l'Espace Schengen et d'autre part en commettant une infraction à la LCR.</w:t>
      </w:r>
    </w:p>
    <w:p>
      <w:r>
        <w:rPr>
          <w:b/>
        </w:rPr>
        <w:t>E. 8.1</w:t>
      </w:r>
    </w:p>
    <w:p>
      <w:r>
        <w:t>Ainsi qu'il l'a indiqué à la police genevoise lors de son audition du 7 juillet 2015, A._______ réside en Suisse depuis plusieurs années, sans être au bénéfice d'une autorisation de séjour, ni avoir sollicité une telle autorisation de la part des autorités compétentes. Dans le cadre de son audition, l'intéressé a en outre déclaré qu'il avait travaillé épisodiquement (dans son mémoire de recours [point 9 p. 2], il a laissé entendre qu'il exerçait une activité régulière dès lors qu'il était « un travailleur honnête et responsable dont [le] labeur est reconnu par les instances officielles à partir du moment où son employeur paye les cotisations sociales, les impôts et toute autre charge légale »).</w:t>
      </w:r>
    </w:p>
    <w:p>
      <w:r>
        <w:rPr>
          <w:b/>
        </w:rPr>
        <w:t>E. 8.2</w:t>
      </w:r>
    </w:p>
    <w:p>
      <w:r>
        <w:t>En l'espèce, le Tribunal observe que A._______ se devait d'être en possession d'une autorisation de séjour à partir du moment où sa présence dans l'Espace Schengen dépassait la période de 90 jours pendant laquelle l'intéressé était admis à y résider sans titre de séjour (cf. art. 10 LEtr en relation avec l'art. 9 al. 1 OASA). De plus, en exerçant une activité professionnelle durant son séjour en Suisse sans avoir au préalable requis une autorisation pour l'exercice d'une activité lucrative, le recourant a également enfreint la disposition de l'art. 11 al. 1 LEtr. Aussi les faits reprochés à l'intéressé dans la motivation de l'interdiction d'entrée (soit en particulier le séjour illégal en Suisse), en regard desquels il a au demeurant été condamné à une peine pécuniaire pour infraction à l'art. 115 al. 1 let. b LEtr (cf. ordonnance pénale du 11 septembre 2015), doivent-ils être considérés comme établis. Aussi, quoi qu'en pense l''intéressé, il était tenu de respecter la législation en vigueur en Suisse, ce qu'il n'a manifestement pas fait lors de son séjour en Suisse. Il importe de souligner à ce propos que tout étranger est censé s'occuper personnellement du règlement de sa situation, en se renseignant, au besoin, auprès des autorités compétentes, et ne saurait prendre un emploi sans avoir obtenu préalablement l'autorisation qui lui en confère le droit (cf. notamment arrêts du TAF C-2896/2015 du 4 février 2016 consid. 6.3; C-4789/2013 du 20 juillet 2015 consid. 5.1). C'est le lieu de rappeler qu'il existe deux régimes juridiques différents concernant le prononcé des interdictions d'entrée, selon que l'intéressé est ressortissant d'un état de l'Union européenne ou d'un état tiers. En l'occurrence, A._______ est un ressortissant de Colombie, soit un état tiers, de sorte que le prononcé querellé s'examine à l'aune de la LEtr, les dispositions de l'ALCP n'étant pas applicables au cas d'espèce. Selon le TF, un étranger ressortissant d'un pays tiers n'a pas besoin d'avoir atteint de manière grave l'ordre et la sécurité publics avant de pouvoir se voir interdire d'entrée en Suisse sur la base du seul art. 67 LEtr (cf. ATF 139 II 121 consid. 5). L'interdiction d'entrée en Suisse prononcée à l'endroit de A._______ le 24 novembre 2015 en application de l'art. 67 LEtr s'avère donc parfaitement justifiée dans son principe. Par son comportement, le recourant a attenté à la sécurité et à l'ordre publics au sens de l'art. 80 al. 1 let. a OASA, l'intéressé ayant en effet violé les prescriptions légales régissant le séjour des étrangers et l'exercice par ces derniers d'une activité lucrative en ce pays. Par ailleurs, le fait qu'il est été surpris en flagrant délit de non observation d'une signalisation lumineuse, ce qui a eu pour effet son interpellation et sa dénonciation au Ministère public genevois, entre également dans le champ d'application de l'art. 80 al. 1 let. a OASA, et ce, indépendamment à la vitesse à laquelle il se déplaçait alors.</w:t>
      </w:r>
    </w:p>
    <w:p>
      <w:r>
        <w:rPr>
          <w:b/>
        </w:rPr>
        <w:t>E. 9</w:t>
      </w:r>
    </w:p>
    <w:p>
      <w:r>
        <w:t>Il convient encore d'examiner si la mesure d'éloignement prise par l'autorité inférieure satisfait aux principes de proportionnalité et de l'égalité de traitement.</w:t>
      </w:r>
    </w:p>
    <w:p>
      <w:r>
        <w:rPr>
          <w:b/>
        </w:rPr>
        <w:t>E. 9.1</w:t>
      </w:r>
    </w:p>
    <w:p>
      <w:r>
        <w:t>Lorsque l'autorité administrative prononce une interdiction d'entrée en Suisse, elle doit en effet respecter les principes susmentionnés et s'interdire tout arbitraire. Toute mesure d'éloignement doit respecter le principe de la proportionnalité, conformément aux art. 5 al. 2 Cst. et 96 LEtr (cf. notamment ATF 139 II 121 consid. 6.5.1; 130 II 176 consid. 3.4.2, et les nombreuses réf.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138 I 331 consid. 7.4.3.1;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w:t>
      </w:r>
    </w:p>
    <w:p>
      <w:r>
        <w:rPr>
          <w:b/>
        </w:rPr>
        <w:t>E. 9.2.1</w:t>
      </w:r>
    </w:p>
    <w:p>
      <w:r>
        <w:t>L'interdiction d'entrée prononcée à l'endroit du recourant est une mesure administrative de contrôle qui tend à le tenir éloigné de Suisse où il a commis en particulier des infractions aux prescriptions de droit des étrangers. Il en va de l'intérêt de l'Etat à voir respectés l'ordre établi et la législation en vigueur (cf. notamment arrêt du TAF C-6622/2009 du 10 février 2010 consid. 6.3, et arrêt cité). Les infractions reprochées à A._______ (en particulier le séjour illégal et l'activité lucrative sans autorisation) doivent être qualifiées de graves (cf. consid. 5.2 supra). Comme le révèlent les indications données par le recourant au cours de son audition, il résidait alors en Suisse depuis plusieurs années déjà, et ce, en toute illégalité. De surcroît, A._______ a reconnu avoir, pendant sa présence en Suisse, exercé une activité professionnelle sans être davantage au bénéfice d'une autorisation idoine, telle qu'exigée pour l'exercice d'une activité lucrative (cf. art. 11 LEtr). Or, il devait nécessairement connaître les prescriptions régissant le séjour des étrangers en ce pays et n'était dès lors pas sans savoir qu'il lui fallait être en possession des autorisations requises pour le séjour et les activités accomplies dans les circonstances retenues ci-dessus. Il convient encore à ce sujet de rappeler que l'interdiction d'entrée en Suisse comprend également un but préventif et vise donc, dans le cas particulier, à éviter que le recourant n'occupe à nouveau un emploi en Suisse de manière clandestine et porte ainsi une nouvelle fois atteinte à l'ordre et à la sécurité publics (cf. consid. 4.1 supra; voir également arrêts du TAF C-2896/2015 précité consid. 7.2; C-6661/2014 du 22 octobre 2015 consid. 7.2). En outre, une telle mesure d'éloignement sert à assurer l'efficacité de l'ordre juridique, qui revêt une signification importante dans le cadre de la législation régissant le séjour des étrangers en Suisse (cf. notamment arrêts du TAF F-7274/2015 consid. 7.2; C-2896/2015 consid. 7.2, et arrêt cité). Dans ce contexte, l'intérêt public à lutter contre le travail au noir revêt une importance non négligeable. On ne saurait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16 janvier 2002 concernant la loi fédérale contre le travail au noir [FF 2002 3371, pp. 3372 et 3375]; voir, sur cette question, également ATF 141 II 57 consid. 5.3 et 7; 137 IV 153 consid. 1.4 et 1.7; arrêt du TF 2P.77/2005 du 26 août 2005 consid. 6.2).</w:t>
      </w:r>
    </w:p>
    <w:p>
      <w:r>
        <w:rPr>
          <w:b/>
        </w:rPr>
        <w:t>E. 9.2.2</w:t>
      </w:r>
    </w:p>
    <w:p>
      <w:r>
        <w:t>En rapport avec son intérêt privé, le recourant relève principalement que la mesure d'éloignement a pour conséquence de le priver de séjour au sein de la Suisse ainsi que de l'Espace Schengen. En l'état, force est de constater que ses liens avec la Suisse n'apparaissent pas déterminants pour apprécier sa situation; ils ne permettent en tout cas pas de considérer que son éloignement de Suisse pour une durée de trois ans et, partant, que son obligation de séjourner dans son Etat d'origine ou dans un autre pays pendant la durée susmentionnée ne serait pas exigible.</w:t>
      </w:r>
    </w:p>
    <w:p>
      <w:r>
        <w:rPr>
          <w:b/>
        </w:rPr>
        <w:t>E. 9.3</w:t>
      </w:r>
    </w:p>
    <w:p>
      <w:r>
        <w:t>Enfin, le TAF constate, au vu de l'ensemble du dossier, qu'il n'existe pas de raisons humanitaires ou d'autres motifs importants justifiant l'abstention ou la suspension de la mesure d'éloignement au sens de de l'art. 67 al. 5 LEtr.</w:t>
      </w:r>
    </w:p>
    <w:p>
      <w:r>
        <w:rPr>
          <w:b/>
        </w:rPr>
        <w:t>E. 9.4</w:t>
      </w:r>
    </w:p>
    <w:p>
      <w:r>
        <w:t>Tenant compte de l'ensemble des éléments objectifs et subjectifs de la cause, le TAF considère que l'interdiction d'entrée en Suisse prise par le SEM le 24 novembre 2015 à l'endroit du recourant est une mesure nécessaire et adéquate afin de prévenir toute nouvelle atteinte à la sécurité et à l'ordre publics en Suisse. Eu égard d'une part à la nature et à la gravité des infractions commises par A._______ aux prescriptions de droit des étrangers, ainsi qu'au fait que ce dernier n'était pas sans connaître son obligation de disposer d'une autorisation de séjour et de travail dans les circonstances évoquées ci-dessus et au risque de récidive existant d'autre part aux limites apportées à la liberté de mouvement de l'intéressé en ce pays, le TAF estime en outre que la durée de trois ans sur laquelle porte l'interdiction d'entrée prise le 24 novembre 2015 à son endroit s'avère proportionnée en considération des mesures prises dans des cas analogues.</w:t>
      </w:r>
    </w:p>
    <w:p>
      <w:r>
        <w:rPr>
          <w:b/>
        </w:rPr>
        <w:t>E. 9.5</w:t>
      </w:r>
    </w:p>
    <w:p>
      <w:r>
        <w:t>Le SEM a par ailleurs ordonné l'inscription de l'interdiction d'entrée dans le SIS. En raison de ce signalement dans le SIS, il est interdit au recourant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voir également arrêt du TAF F-5267/2015 du 18 août 2016 consid. 6.6).</w:t>
      </w:r>
    </w:p>
    <w:p>
      <w:r>
        <w:rPr>
          <w:b/>
        </w:rPr>
        <w:t>E. 10.1</w:t>
      </w:r>
    </w:p>
    <w:p>
      <w:r>
        <w:t>Il ressort de ce qui précède que, par sa décision du 24 novembre 2015, l'autorité intimée n'a ni violé le droit fédéral, ni constaté des faits pertinents de manière inexacte ou incomplète; en outre, cette décision n'est pas inopportune (art. 49 LEtr). C'est donc de manière conforme au droit que le SEM a prononcé une interdiction d'entrée d'une durée de trois ans à l'endroit de A._______ en application de l'art. 67 LEtr et inscrit cette mesure dans le système d'information Schengen (SIS II). En conséquence, le recours est rejeté.</w:t>
      </w:r>
    </w:p>
    <w:p>
      <w:r>
        <w:rPr>
          <w:b/>
        </w:rPr>
        <w:t>E. 10.2</w:t>
      </w:r>
    </w:p>
    <w:p>
      <w:r>
        <w:t>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