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F-822/2020 vom 18. Januar 2022</w:t>
      </w:r>
    </w:p>
    <w:p>
      <w:r>
        <w:t>Bundesverwaltungsgericht, 2022-01-18, FR</w:t>
      </w:r>
    </w:p>
    <w:p>
      <w:r>
        <w:rPr>
          <w:b/>
        </w:rPr>
        <w:t xml:space="preserve">Quelle: </w:t>
      </w:r>
      <w:r>
        <w:t>https://mcp.opencaselaw.ch/entscheid/bvger_F-822_2020</w:t>
      </w:r>
    </w:p>
    <w:p>
      <w:r>
        <w:t>FR: TAF F-822/2020 du 18 janvier 2022</w:t>
      </w:r>
    </w:p>
    <w:p>
      <w:r>
        <w:t>IT: TAF F-822/2020 del 18 gennaio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 arrêts du Tribunal fédéral [ci-après :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ibid.et réf. cit.). En matière de droit des étrangers, l'art. 90 LEI met un devoir spécifique de collaborer à la constatation des faits déterminants à la charge de l'étranger ou des tiers participants (cf. arrêt du TF 2C_95/2019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(cf. ATF 140 I 285 précité ibid.).</w:t>
      </w:r>
    </w:p>
    <w:p>
      <w:r>
        <w:rPr>
          <w:b/>
        </w:rPr>
        <w:t>E. 4.1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4.3</w:t>
      </w:r>
    </w:p>
    <w:p>
      <w:r>
        <w:t>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w:t>
      </w:r>
    </w:p>
    <w:p>
      <w:r>
        <w:rPr>
          <w:b/>
        </w:rPr>
        <w:t>E. 5</w:t>
      </w:r>
    </w:p>
    <w:p>
      <w:r>
        <w:t>Compte tenu du fait que le recourant, citoyen français, est ressortissant communautaire, il convient de vérifier si la mesure d'éloignement prononcée à son endroit est conforme à l'ALCP (cf. ATF 139 II 121 consid. 5.1 in fine ; arrêt du TF 2C_1045/2011 du 18 avril 2012 consid. 2.1 ; arrêt du TAF F-1143/2019 du 20 janvier 2021 consid. 5). En vertu de l'art. 2 al. 2 LEI, cette loi n'est, en effet, applicable aux ressortissants des Etats membres de la Communauté européenne que si l'ALCP n'en dispose pas autrement ou si elle contient des dispositions plus favorables.</w:t>
      </w:r>
    </w:p>
    <w:p>
      <w:r>
        <w:rPr>
          <w:b/>
        </w:rPr>
        <w:t>E. 5.1</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5.2</w:t>
      </w:r>
    </w:p>
    <w:p>
      <w:r>
        <w:t>Conformément à la jurisprudence du TF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5.3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Le TF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 du TF 2C_725/2018 du 13 novembre 2018 consid. 5). Par conséquent, pour pouvoir faire l'objet d'une interdiction d'entrée en application de l'art. 67 al. 2 let. a LEI,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2C_107/2021 du 1er juin 2021 consid. 5.1 et la jurisprudence citée).</w:t>
      </w:r>
    </w:p>
    <w:p>
      <w:r>
        <w:rPr>
          <w:b/>
        </w:rPr>
        <w:t>E. 6.1</w:t>
      </w:r>
    </w:p>
    <w:p>
      <w:r>
        <w:t>En l'occurrence, l'autorité inférieure s'est fondée sur les condamnations de l'intéressé, inscrite à son casier judiciaire suisse (cf. let A supra). Elle a relevé que le degré de gravité particulier de la menace était, en l'espèce, constitué par la multiplication des infractions commises par le recourant, pour des faits de même nature, soit des infractions aux règles de la circulation routière. De par ses agissements répréhensibles (multirécidiviste), le recourant avait démontré qu'il représentait une menace grave, réelle et actuelle au sens du droit communautaire. Finalement, le SEM a relevé qu'aucun intérêt privé ne l'emportait sur l'intérêt public à tenir le recourant éloigné de Suisse (cf. décision querellée et pce. 6 TAF).</w:t>
      </w:r>
    </w:p>
    <w:p>
      <w:r>
        <w:rPr>
          <w:b/>
        </w:rPr>
        <w:t>E. 6.2</w:t>
      </w:r>
    </w:p>
    <w:p>
      <w:r>
        <w:t>Le recourant a, pour sa part, fait valoir que deux de ses condamnations pénales étaient « de peu de gravité », comme l'attestaient les peines prononcées (c'est-à-dire des peines pécuniaires et des amendes assorties d'un sursis complet). Toutefois, c'est sa condamnation à une peine privative de liberté de 20 mois en mars 2019 qui serait le fondement principal à la mesure d'éloignement prononcée. A ce sujet, il a d'ailleurs relevé que les faits seraient survenus le 31 août 2015 et que, depuis, son comportement pouvait être qualifié d'irréprochable. En outre, le Tribunal de police de Genève lui aurait accordé un sursis partiel, démontrant ainsi que le pronostic relatif à son comportement futur ne pouvait pas être considéré comme défavorable. En résumé, il a soutenu qu'il s'agirait de relativiser son seul « délit grave » « compte tenu notamment du fait que l'infraction relève du dol éventuel, qu'il s'agit de l'unique condamnation avec une peine partiellement ferme, et que [son] comportement (...) depuis près de cinq ans échappe à toute critique » (cf. mémoire de recours, p. 13).</w:t>
      </w:r>
    </w:p>
    <w:p>
      <w:r>
        <w:rPr>
          <w:b/>
        </w:rPr>
        <w:t>E. 7</w:t>
      </w:r>
    </w:p>
    <w:p>
      <w:r>
        <w:t>Il s'agit donc d'examiner, tout d'abord, si le prononcé d'une interdiction d'entrée à l'encontre du recourant se justifiait dans son principe.</w:t>
      </w:r>
    </w:p>
    <w:p>
      <w:r>
        <w:rPr>
          <w:b/>
        </w:rPr>
        <w:t>E. 7.1</w:t>
      </w:r>
    </w:p>
    <w:p>
      <w:r>
        <w:t>Comme les considérants ci-dessus l'ont relevé, le recourant a fait l'objet, entre 2015 et 2019, de trois condamnations pénales en Suisse, dont une retenant une violation grave qualifiée des règles de la LCR et le condamnant à 20 mois de peine privative de liberté (dont 14 mois de sursis à l'exécution de la peine et un délai d'épreuve de 5 ans). A ce sujet, l'intéressé a été incarcéré à la prison de Champ-Dollon du 25 novembre 2019 au 23 mai 2020 (cf. pce. 3 TAF, annexe, ordre d'exécution).</w:t>
      </w:r>
    </w:p>
    <w:p>
      <w:r>
        <w:rPr>
          <w:b/>
        </w:rPr>
        <w:t>E. 7.2</w:t>
      </w:r>
    </w:p>
    <w:p>
      <w:r>
        <w:t>S'il est vrai que ce dernier n'a pas commis d'actes de violence criminelle et d'infractions contre l'intégrité sexuelle, qui constituent des domaines où le TF et la Cour EDH sont particulièrement rigoureux, il convient de relever qu'il a néanmoins démontré, par son comportement récidivant en 2015, son incapacité à respecter les règles de la circulation en vigueur en Suisse, ainsi qu'une incapacité à s'amender, les condamnations à des peines pécuniaires ou à des amendes n'ayant pas suffi à lui faire adopter un comportement conforme à l'ordre juridique. A noter que la condamnation du 12 mars 2019 portait sur une violation grave des règles de la circulation routière, soit un dépassement de 91 km/h (marge d'erreur déduite) de la vitesse autorisée à 60 km/h (cf. dossier SEM, Act. 1 p. 3). Le recourant a ainsi fait preuve non seulement d'un comportement irrespectueux des règles en la matière mais aussi d'une absence de conscience de la réalisation d'un danger abstrait de créer un accident, pouvant entraîner de graves blessures ou la mort (cf. ATF 143 IV 508 du 13 novembre 2017 consid. 1.3 ; arrêt du TAF F-1143/2019 précité consid. 7.1).</w:t>
      </w:r>
    </w:p>
    <w:p>
      <w:r>
        <w:rPr>
          <w:b/>
        </w:rPr>
        <w:t>E. 7.3</w:t>
      </w:r>
    </w:p>
    <w:p>
      <w:r>
        <w:t>Le recourant conteste toutefois l'actualité de la menace qu'il représenterait, relevant dans son recours que sa dernière infraction date de 2015. En ce sens, le fait que la condamnation « soit intervenue de manière tardive relève exclusivement d'impératifs procéduraux liés à l'entraide internationale en la matière pénale, qui ne [lui] sont évidemment pas imputables » (cf. mémoire de recours, p. 10).</w:t>
      </w:r>
    </w:p>
    <w:p>
      <w:r>
        <w:rPr>
          <w:b/>
        </w:rPr>
        <w:t>E. 7.4</w:t>
      </w:r>
    </w:p>
    <w:p>
      <w:r>
        <w:t>A cet égard, le Tribunal ne saurait suivre l'argument de l'intéressé. En effet, il apert du dossier qu'un avis de recherche et d'arrestation a été lancé en novembre 2016 et que ce dernier a été interpellé le 22 janvier 2017 par la police valaisanne alors qu'il entrait sur le territoire helvétique (cf. dossier SEM, Act. 1 pp. 3 et 21). Par ailleurs, bien qu'il soutienne le contraire, il sied de relever que lors de son arrestation, le recourant n'a pas reconnu les faits, prétextant qu'il s'agissait de l'oeuvre de son ancien colocataire (cf. dossier SEM, Act. 1 p. 12). Si certes, le jugement pénal n'a été prononcé que deux ans après l'arrestation du recourant, il sied toutefois de constater que celui-ci n'a bénéficié, cette fois, que du sursis partiel et qu'un délai d'épreuve de cinq ans lui a été imposé (cf. dossier SEM, Act. 4 p. 30).</w:t>
      </w:r>
    </w:p>
    <w:p>
      <w:r>
        <w:rPr>
          <w:b/>
        </w:rPr>
        <w:t>E. 7.5</w:t>
      </w:r>
    </w:p>
    <w:p>
      <w:r>
        <w:t>Concernant son absence d'infraction depuis 2015, le Tribunal constate que le recourant a été emprisonné six mois de novembre 2019 à mai 2020 (cf. pce. 3 TAF, annexe, ordre d'exécution). Ensuite de sa libération, ce dernier n'a pas répondu à l'ordonnance d'actualisation du Tribunal du 8 septembre 2021 l'invitant à fournir des informations le concernant et ses casiers judiciaires français et suisse. Si, certes le SEM a transmis le 27 octobre 2021 un casier judiciaire français ne relatant aucune nouvelle infraction, il sied toutefois de relever le manque de collaboration du recourant lorsqu'il s'agit d'apporter des éléments concernant sa situation financière, sociale et familiale. En effet, ce dernier n'a pas fourni à la présente cause un élément susceptible d'analyser sa situation dans plus de détails et de manière actualisée, notamment en ce qui concerne son bon comportement depuis sa mise en liberté.</w:t>
      </w:r>
    </w:p>
    <w:p>
      <w:r>
        <w:rPr>
          <w:b/>
        </w:rPr>
        <w:t>E. 7.6</w:t>
      </w:r>
    </w:p>
    <w:p>
      <w:r>
        <w:t>Dès lors, jusqu'à preuve du contraire, et notamment du fait que l'intéressé se trouve encore soumis au délai d'épreuve décidé par le juge pénal (mars 2024), le Tribunal est amené à considérer que ce dernier constitue bien une menace actuelle et réelle à l'ordre et à la sécurité publics justifiant le prononcé d'une mesure d'éloignement à son encontre.</w:t>
      </w:r>
    </w:p>
    <w:p>
      <w:r>
        <w:rPr>
          <w:b/>
        </w:rPr>
        <w:t>E. 8.1</w:t>
      </w:r>
    </w:p>
    <w:p>
      <w:r>
        <w:t>Il convient ensuite d'examiner si le prononcé d'une interdiction d'entrée d'une durée supérieure à cinq ans est justifié à la lumière de l'art. 67 al. 3 2ème phrase LEI et des principes dégagés par la jurisprudence.</w:t>
      </w:r>
    </w:p>
    <w:p>
      <w:r>
        <w:rPr>
          <w:b/>
        </w:rPr>
        <w:t>E. 8.2</w:t>
      </w:r>
    </w:p>
    <w:p>
      <w:r>
        <w:t>Selon l'art. 67 al. 3 1ère phrase LEI, l'interdiction d'entrée est prononcée pour une durée maximale de cinq ans. Dans ce contexte, le Tribunal fédéral a apporté une distinction, dans l'application de cette disposition (en relation avec l'art. 67 al. 2 let. a LEI),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F-542/2020 du 16 août 2021 consid. 6.2).</w:t>
      </w:r>
    </w:p>
    <w:p>
      <w:r>
        <w:rPr>
          <w:b/>
        </w:rPr>
        <w:t>E. 8.3</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8.4</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5ème éd., 2019, ad art. 67 LEI, n° 6 p. 366 s. ; Andrea Binder Oser, in :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F-542/2020 précité consid. 6.4 in fine et réf. cit. ; comp. art. 83 par. 1 du Traité sur le fonctionnement de l'UE, dans sa version consolidée de Lisbonne [C 2010/C 83/01], mentionnant notamment les actes de terrorisme, la traite d'êtres humains, le trafic de drogues et la criminalité organisée).</w:t>
      </w:r>
    </w:p>
    <w:p>
      <w:r>
        <w:rPr>
          <w:b/>
        </w:rPr>
        <w:t>E. 8.5</w:t>
      </w:r>
    </w:p>
    <w:p>
      <w:r>
        <w:t>En l'espèce, le Tribunal ne saurait poser un pronostic favorable quant au comportement futur de l'intéressé et le risque de réitération d'actes délictueux de sa part ne saurait être sous-estimé (cf. consid. 7 s. supra). De plus, la gravité de la dernière infraction pénale commise par le recourant, bien que datant d'août 2015, ne saurait être minimisée (cf. consid. 7.2 supra). Le Tribunal estime toutefois que, malgré leur caractère répétitif, les infractions pénales commises par le recourant n'atteignent pas le degré de gravité requis pour justifier le prononcé d'une mesure d'éloignement allant au-delà de la durée maximale de cinq ans prévue à l'art. 67 al. 3 1ère phrase LEI (cf., notamment, arrêt F-542/2020 du 16 août 2021 consid. 6.5). Ainsi, au regard des circonstances du cas particulier, et même si l'activité délictuelle du recourant a manqué de peu d'être constitutive d'une "menace grave" au sens du palier II défini par le Tribunal fédéral, le Tribunal arrive à la conclusion que c'est à tort que l'autorité intimée a retenu l'existence d'une telle menace au sens de l'art. 67 al. 3 2ème phrase LEI. Il s'ensuit que la durée de la mesure d'éloignement prononcée à l'endroit du recourant ne saurait dépasser la durée maximale de cinq ans prévue à l'art. 67 al. 3 1ère phrase LEI.</w:t>
      </w:r>
    </w:p>
    <w:p>
      <w:r>
        <w:rPr>
          <w:b/>
        </w:rPr>
        <w:t>E. 9</w:t>
      </w:r>
    </w:p>
    <w:p>
      <w:r>
        <w:t>Il convient encore d'examiner si la mesure d'éloignement prise par l'autorité intimée satisfait aux principes de proportionnalité et de l'égalité de traitement.</w:t>
      </w:r>
    </w:p>
    <w:p>
      <w:r>
        <w:rPr>
          <w:b/>
        </w:rPr>
        <w:t>E. 9.1</w:t>
      </w:r>
    </w:p>
    <w:p>
      <w:r>
        <w:t>Lorsque l'autorité administrative prononce une interdiction d'entrée, elle doit en effet respecter les principes susmentionnés et s'interdire tout arbitraire (cf. à ce sujet, à titre d'exemple, Thierry Tanquerel, 8, 2018, p. 197ss, p. 209ss).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136 IV 97 consid. 5.2.2 ; arrêt du TAF précité F-542/2020 consid. 7.1 et réf. cit.). Pour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9.2</w:t>
      </w:r>
    </w:p>
    <w:p>
      <w:r>
        <w:t>Concernant l'intérêt privé du recourant à pouvoir entrer librement sur le territoire suisse, le Tribunal constate que ce dernier n'a fourni aucun élément susceptible d'analyser sa situation personnelle dans plus de détails et de manière actualisée. En effet, seuls quatre témoignages ont été versés au dossier, dans lesquels les auteurs attestent uniquement « connaître » le recourant, sans pour autant étayer leurs allégations (cf. pce. 1 TAF, annexe 5). Un autre écrit daté du 1er janvier 2020 précise quant à lui que le recourant « sous-loue[rait] » une chambre dans un appartement à Genève depuis janvier 2020. Force est toutefois de relever une certaine contradiction dans ce document, étant donné que le recourant a été incarcéré jusqu'à mai 2020 à la prison de Champ-Dollon et qu'il a été reconnu par le Tribunal comme indigent, par décision incidente du 31 mars 2020 (cf. pce. 3 TAF). Il parait dès lors surprenant qu'il ait pu cohabité avec quelqu'un au début de l'année 2020 et payer un loyer. Quant aux motifs économiques et professionnels invoqués pour justifier sa nécessité de venir travailler en Suisse (cf. mémoire de recours p. 13), le Tribunal se doit de constater que l'intéressé a déclaré, lors de son audition par la police genevoise, travaillé en Suisse depuis 2014 (cf. dossier SEM, Act. 1 p. 14). A ce sujet, il appert effectivement au dossier que ce dernier était titulaire d'un permis G pour frontalier valable d'août 2016 à septembre 2020 (cf. dossier SEM, Act. 1 pp. 8 et 13) et qu'il a également été employé par une entreprise fribourgeoise du 10 avril 2019 jusqu'à son incarcération ([novembre 2019] ; cf. dossier SEM, Act. 4 p. 33). Si certes, l'interdiction d'entrée litigieuse l'empêche objectivement d'exercer son droit à la libre circulation, soit celui de venir s'établir en Suisse pour y exercer une activité lucrative, il lui est toutefois loisible de rechercher du travail dans un autre Etat Schengen (cf. arrêt du TAF F-1143/2019 précité consid. 8.5). Au vu de l'absence d'information sur sa situation personnelle et de la nature vague des documents joints au dossier, il sied de retenir en défaveur de l'intéressé qu'il n'a pas d'attaches familiales ou sociales particulières en Suisse.</w:t>
      </w:r>
    </w:p>
    <w:p>
      <w:r>
        <w:rPr>
          <w:b/>
        </w:rPr>
        <w:t>E. 9.3</w:t>
      </w:r>
    </w:p>
    <w:p>
      <w:r>
        <w:t>En résumé, force est de constater que les infractions à la LCR pour lesquels le recourant a été condamné sont graves, compte tenu notamment de leur nature et de la durée de la peine privative de liberté prononcée à son endroit (20 mois). On retiendra également en défaveur de ce dernier, outre l'absence d'un intérêt privé légitime à pouvoir entrer librement sur le territoire helvétique, son manque de collaboration flagrant lorsqu'il s'agit d'apporter des éléments concernant sa situation financière, sociale, familiale et quant à son bon comportement depuis sa mise en liberté. Cependant, sans vouloir minimiser les infractions commises, le Tribunal estime qu'il sied de les relativiser, notamment au vu de l'écoulement du temps et de l'absence de toute récidive en la matière depuis fin 2015 (cf., notamment, ses casiers judiciaires suisse et français ; pce 15 TAF annexe et dossier SEM, Act. 2 p. 23). Dès lors, il convient de considérer que la durée de l'interdiction d'entrée prononcée par le SEM n'est pas adéquate et qu'il convient d'en limiter les effets à quatre ans, durée qui apparaît également comme proportionnée aux circonstances, au regard de l'ALCP (cf. à titre d'exemples, pour une interdiction d'entrée de quatre ans [F-542/2020 précité] et deux ans pour un récidiviste avec intérêts privés prépondérants [F-1143/2019 précité]).</w:t>
      </w:r>
    </w:p>
    <w:p>
      <w:r>
        <w:rPr>
          <w:b/>
        </w:rPr>
        <w:t>E. 10.1</w:t>
      </w:r>
    </w:p>
    <w:p>
      <w:r>
        <w:t>Le recours est en conséquence partiellement admis et la décision du SEM du 7 janvier 2020 est réformée, en ce sens que les effets de l'interdiction d'entrée sont limités au 6 janvier 2024. La demande de restitution de l'effet suspensif au recours contenue dans le mémoire de recours est, dès lors, devenue sans objet.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w:t>
      </w:r>
    </w:p>
    <w:p>
      <w:r>
        <w:rPr>
          <w:b/>
        </w:rPr>
        <w:t>E. 10.2</w:t>
      </w:r>
    </w:p>
    <w:p>
      <w:r>
        <w:t>Par décision du 31 mars 2020, le Tribunal a toutefois mis le recourant au bénéfice de l'assistance judiciaire totale et a désigné Me Cvjetislav Todic en qualité d'avocat d'office pour la présente procédure, en application de l'art. 65 al. 1 et 2 PA.</w:t>
      </w:r>
    </w:p>
    <w:p>
      <w:r>
        <w:rPr>
          <w:b/>
        </w:rPr>
        <w:t>E. 10.3</w:t>
      </w:r>
    </w:p>
    <w:p>
      <w:r>
        <w:t>Il y a lieu, en conséquence, de dispenser le recourant du paiement des frais de procédure et d'allouer à son défenseur d'office une indemnité à titre d'honoraires pour les frais indispensables et relativement élevés occasionnés par la procédure de recours, dans la mesure où il n'a eu que partiellement gain de cause (cf. art. 64 al. 2 PA, par renvoi de l'art. 65 al. 3 PA, en relation avec les art. 8 à 12 FITAF).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André Moser et Al., Prozessieren vor dem Bundesverwaltungsgericht, 2e éd. 2013, ch. 4.84).</w:t>
      </w:r>
    </w:p>
    <w:p>
      <w:r>
        <w:rPr>
          <w:b/>
        </w:rPr>
        <w:t>E. 10.4</w:t>
      </w:r>
    </w:p>
    <w:p>
      <w:r>
        <w:t>Par courrier du 8 décembre 2021, le mandataire du recourant a fait parvenir au Tribunal une liste des opérations effectuées dans le cadre de la présente procédure, lesquelles comprennent essentiellement la rédaction d'un recours et déterminations à l'intention du Tribunal, ainsi que plusieurs courriers pour un montant total de 1970,92 francs, TVA comprise. Il ressort du dossier que le mandataire du recourant a adressé au Tribunal un mémoire de recours de 15 pages, un courrier concernant l'octroi de l'assistance judiciaire avec annexes, une brève réplique, deux demandes de prolongation, un courrier avec de brèves déterminations finales, ainsi qu'un relevé des opérations effectuées dans le cadre de son mandat. Le Tribunal fixera partant l'indemnité due au mandataire du recourant à titre d'honoraires à 2'000.- (débours et TVA compris), ce qui apparaît comme équitable en l'espèce.</w:t>
      </w:r>
    </w:p>
    <w:p>
      <w:r>
        <w:rPr>
          <w:b/>
        </w:rPr>
        <w:t>E. 10.5</w:t>
      </w:r>
    </w:p>
    <w:p>
      <w:r>
        <w:t>Le recourant ayant droit à des dépens réduits (art. 64 al. 1 PA en relation avec l'art. 7 al. 2 FITAF) en relation avec l'admission partielle de son recours, il lui sera accordé 500.- francs à ce titre. L'indemnité pour les honoraires non couverts par les dépens qui lui sont alloués (art. 8 à 10 en relation avec l'art. 12 et l'art. 14 FITAF) s'élève ainsi à 1'500.- francs. Le recourant a l'obligation de rembourser ce montant s'il revient à meilleure fortune, conformément à l'art. 65 al. 4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