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F-8206/2024 vom 20. Januar 2025</w:t>
      </w:r>
    </w:p>
    <w:p>
      <w:r>
        <w:t>Bundesverwaltungsgericht, 2025-01-20, DE</w:t>
      </w:r>
    </w:p>
    <w:p>
      <w:r>
        <w:rPr>
          <w:b/>
        </w:rPr>
        <w:t xml:space="preserve">Quelle: </w:t>
      </w:r>
      <w:r>
        <w:t>https://mcp.opencaselaw.ch/entscheid/bvger_F-8206_2024</w:t>
      </w:r>
    </w:p>
    <w:p>
      <w:r>
        <w:t>FR: TAF F-8206/2024 du 20 janvier 2025</w:t>
      </w:r>
    </w:p>
    <w:p>
      <w:r>
        <w:t>IT: TAF F-8206/2024 del 20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 unter Vorbehalt nachfolgender Erwägung - einzutreten ist (Art. 48 Abs. 1 VwVG, Art. 108 Abs. 3 AsylG und Art. 52 Abs. 1 VwVG). Das Gericht entscheidet über diese endgültig (Art. 83 Bst. d Ziff. 1 BGG).</w:t>
      </w:r>
    </w:p>
    <w:p>
      <w:r>
        <w:rPr>
          <w:b/>
        </w:rPr>
        <w:t>E. 1.2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Flüchtlingseigenschaft und der Asylgewährung sowie die allfällige Feststellung der Unzulässigkeit, Unzumutbarkeit und/oder Unmöglichkeit des Wegweisungsvollzuges unter Art. 83 Abs. 2-4 AIG und damit verknüpft die allfällige Anordnung einer vorläufigen Aufnahme waren demgegenüber im vorinstanzlichen Verfahren nicht zu prüfen. Sie können folglich nicht zum Gegenstand des Beschwerdeverfahrens gemacht werden, weshalb auf die entsprechenden Anträge des Beschwerdeführers nicht einzutreten ist.</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in der angefochtenen Verfügung korrekt erwogen, dass gemäss den Bestimmungen der Dublin-III-VO grundsätzlich die Niederlande für die Behandlung des Asylgesuchs des Beschwerdeführers zuständig ist, dass das niederländische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in Hinblick auf die geltend gemachte mangelhafte Unterbringung (kaltes Zimmer), unzureichende Verpflegung (nur eine Mahlzeit am Tag) und fehlende medizinische Behandlung seiner gesundheitlichen Leiden (Asthma, Beeinträchtigung der Sehfähigkeit auf dem rechten Auge)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berücksichtigt, dass dem Beschwerdeführer in den Niederlanden der Zugang zu einer allenfalls erforderlichen medizinischen Behandlung offensteht. Sie ist demnach zu Recht in Anwendung von Art. 31a Abs. 1 Bst. b AsylG auf das Asylgesuch des Beschwerdeführers nicht eingetreten und hat in Anwendung von Art. 44 AsylG seine Wegweisung in die Niederlande angeordnet. Zur näheren Begründung wird auf die korrekten vorinstanzlichen Erwägungen verwiesen.</w:t>
      </w:r>
    </w:p>
    <w:p>
      <w:r>
        <w:rPr>
          <w:b/>
        </w:rPr>
        <w:t>E. 2.2</w:t>
      </w:r>
    </w:p>
    <w:p>
      <w:r>
        <w:t>Was der Beschwerdeführer auf Rechtsmittelebene vorbringt, vermag daran nichts zu ändern. In der Beschwerdebegründung wiederholt er hinsichtlich seines Gesundheitszustandes sein Vorbringen aus dem persönlichen Dublin-Gespräch vom 17. Dezember 2024 und äussert den Wunsch, in der Schweiz medizinisch behandelt zu werden. Die wiederholend vorgebrachten gesundheitlichen Beeinträchtigungen (Asthma und Beeinträchtigung der Sehfähigkeit auf dem rechten Auge) sind im Lichte der diesbezüglichen Rechtsprechung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nicht als derart schwerwiegend anzusehen, dass aus humanitären Gründen oder gar wegen einer drohenden Verletzung von Art. 3 EMRK von einer Überstellung in die Niederlande abgesehen werden müsste. Im Übrigen verfügen die Niederlande über eine ausreichende medizinische Infrastruktur für ihre Behandlung (vgl. Urteil des BVGer F-5943/2024 vom 25. September 2024 E. 4.4) und sind gemäss Art. 19 der Richtlinie des Europäischen Parlaments und des Rates 2013/33/EU vom 26. Juni 2013 zur Festlegung von Normen für die Aufnahme von Personen, die internationalen Schutz beantragen (sog. Aufnahmerichtlinie) verpflichtet, dem Beschwerdeführer die erforderliche medizinische Versorgung zugänglich zu machen. Es liegen keine Hinweise vor, wonach die Niederlande dem Beschwerdeführer eine adäquate medizinische Behandlung verweigern würden. Die persönliche Präferenz des Beschwerdeführers für eine medizinische Behandlung in der Schweiz ist rechtlich unerheblich.</w:t>
      </w:r>
    </w:p>
    <w:p>
      <w:r>
        <w:rPr>
          <w:b/>
        </w:rPr>
        <w:t>E. 3</w:t>
      </w:r>
    </w:p>
    <w:p>
      <w:r>
        <w:t>Nach dem Gesagten ist die angefochtene Verfügung vom 18. Dezember 2024 nicht zu beanstanden und die Beschwerde ist abzuweisen, soweit darauf einzutreten ist.</w:t>
      </w:r>
    </w:p>
    <w:p>
      <w:r>
        <w:rPr>
          <w:b/>
        </w:rPr>
        <w:t>E. 4</w:t>
      </w:r>
    </w:p>
    <w:p>
      <w:r>
        <w:t>Mit vorliegendem Urteil wird der Antrag auf Gewährung der aufschiebenden Wirkung gegenstandslos und der am 30. Dezember 2024 angeordnete Vollzugsstopp fällt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