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F-819/2025 vom 12. Februar 2025</w:t>
      </w:r>
    </w:p>
    <w:p>
      <w:r>
        <w:t>Bundesverwaltungsgericht, 2025-02-12, DE</w:t>
      </w:r>
    </w:p>
    <w:p>
      <w:r>
        <w:rPr>
          <w:b/>
        </w:rPr>
        <w:t xml:space="preserve">Quelle: </w:t>
      </w:r>
      <w:r>
        <w:t>https://mcp.opencaselaw.ch/entscheid/bvger_F-819_2025</w:t>
      </w:r>
    </w:p>
    <w:p>
      <w:r>
        <w:t>FR: TAF F-819/2025 du 12 février 2025</w:t>
      </w:r>
    </w:p>
    <w:p>
      <w:r>
        <w:t>IT: TAF F-819/2025 del 12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Die Beschwerde wurde rechtzeitig eingereicht (Art. 108 Abs. 3 AsylG). Betreffend die übrigen Eintretensvoraussetzungen (Art. 48 Abs. 1 VwVG, Art. 52 VwVG) stellt sich die Frage, ob die Rechtsbegehren des Beschwerdeführers den Anforderungen von Art. 52 Abs. 1 und 2 VwVG genügen.</w:t>
      </w:r>
    </w:p>
    <w:p>
      <w:r>
        <w:rPr>
          <w:b/>
        </w:rPr>
        <w:t>E. 1.2</w:t>
      </w:r>
    </w:p>
    <w:p>
      <w:r>
        <w:t>Vorliegend wurde ein Nichteintretensentscheid angefochten, mit dem es die Vorinstanz abgelehnt hat, das Asylgesuch des Beschwerdeführers auf seine Begründetheit hin zu überprüfen (Art. 31a Abs. 1-3 AsylG). Die Beurteilungskompetenz der Beschwerdeinstanz ist in solchen Konstellationen grundsätzlich auf die Frage beschränkt, ob die Vorinstanz zu Recht auf das Asylgesuch nicht eingetreten ist (vgl. BVGE 2012/4 E. 2.2 m.w.H). Die Rechtsbegehren des Beschwerdeführers zielen jedoch auf die Anerkennung der Flüchtlingseigenschaft und die Gewährung von Asyl, subsidiär auf die Gewährung der vorläufigen Aufnahme (vgl. Bst. B). Alle formulierten Rechtsbegehren befinden sich somit ausserhalb des Anfechtungsgegenstandes (vgl. BVGE 2015/18 E. 5.2 m.w.H.) und sind folglich unzulässig. Der Beschwerdeführer handelte jedoch ohne Rechtsvertreter und aus der Beschwerdeschrift ist ersichtlich, dass er sich der Überstellung nach Deutschland widersetzen wollte. Zu seinen Gunsten ist demnach davon auszugehen, dass er die Aufhebung der angefochtenen Verfügung und das Eintreten auf sein Asylgesuch beantragen wollte. Dabei handelt es sich um ein zulässiges Rechtsbegehren, weshalb auf die Beschwerde insofern einzutreten ist (siehe Urteil des BVGer F-6636/2024 vom 30. Oktober 2024 E. 1.1).</w:t>
      </w:r>
    </w:p>
    <w:p>
      <w:r>
        <w:rPr>
          <w:b/>
        </w:rPr>
        <w:t>E. 1.3</w:t>
      </w:r>
    </w:p>
    <w:p>
      <w:r>
        <w:t>Soweit auf sie einzutreten war, erweist sich die Beschwerde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Die Vorinstanz hat korrekt erwogen, dass grundsätzlich Deutschland für die Durchführung des Asyl- und Wegweisungsverfahrens des Beschwerdeführers zuständig ist (Art. 18 Abs. 1 Bst. d Dublin-III-VO), zumal die deutschen Behörden ihre Zuständigkeit am 30. Januar 2025 explizit anerkannt haben (Vorakten [SEM-act.] 28). Weiter hat sie korrekt erwogen, dass das deutsche Asyl- und Aufnahmesystem rechtsprechungsgemäss keine systemischen Schwachstellen aufweist, aufgrund derer die Zuständigkeit auf die Schweiz überginge (Art. 3 Abs. 2 Dublin-III-VO), und dass vorliegend keine völkerrechtlichen Vollzugshindernisse ersichtlich sind, welche die Schweiz zu einem Selbsteintritt verpflichten würden (Art. 17 Abs. 1 Dublin-III-VO). Zudem hat die Vorinstanz korrekt festgehalten, dass kein besonderes Abhängigkeitsverhältnis im Sinne von Art. 16 Abs. 1 Dublin-III-VO zwischen dem Beschwerdeführer und seinen in der Schweiz lebenden Verwandten (volljähriger Sohn; Enkelkind; Bruder) vorliegt und diese nicht als Familienangehörige im Sinne von Art. 2 Bst. g Dublin-III-VO gelten.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(Art. 31a Abs. 1 Bst. b AsylG) und hat seine Wegweisung nach Deutschland angeordnet (Art. 44 AsylG). Zur näheren Begründung wird auf die korrekten vorinstanzlichen Erwägungen verwiesen (SEM-act. 29).</w:t>
      </w:r>
    </w:p>
    <w:p>
      <w:r>
        <w:rPr>
          <w:b/>
        </w:rPr>
        <w:t>E. 2.2</w:t>
      </w:r>
    </w:p>
    <w:p>
      <w:r>
        <w:t>Die Vorbringen des Beschwerdeführers auf Rechtsmittelebene vermögen an der Richtigkeit der vorinstanzlichen Verfügung nichts zu ändern. Namentlich bringt er in Bezug auf seine familiären Beziehungen nichts Neues vor. Sodann liegen keine Hinweise dafür vor, dass die Behandlung des Asylgesuchs des Beschwerdeführers in Deutschland mangelhaft gewesen sein könnte. Dabei ist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Dem Beschwerdeführer steht es überdies frei, den deutschen Behörden allfällige Wiederaufnahme- oder Wiedererwägungsgründe im Rahmen eines Folgeantrags (Art. 40 Verfahrensrichtlinie) zu unterbreiten (vgl. zuletzt etwa Urteile des BVGer E-3899/2024 vom 2. Oktober 2024 E. 7.2, F-5122/2024 vom 28. August 2024 E. 10.2, je m.w.H.).</w:t>
      </w:r>
    </w:p>
    <w:p>
      <w:r>
        <w:rPr>
          <w:b/>
        </w:rPr>
        <w:t>E. 3</w:t>
      </w:r>
    </w:p>
    <w:p>
      <w:r>
        <w:t>Nach dem Gesagten ist die angefochtene Verfügung nicht zu beanstanden und die Beschwerde ist abzuweisen, soweit darauf einzutreten ist. Mit dem vorliegenden Urteil wird das Gesuch um Wiederherstellung der aufschiebenden Wirkung gegenstandslos.</w:t>
      </w:r>
    </w:p>
    <w:p>
      <w:r>
        <w:rPr>
          <w:b/>
        </w:rPr>
        <w:t>E. 4.1</w:t>
      </w:r>
    </w:p>
    <w:p>
      <w:r>
        <w:t>Das Gesuch um Gewährung der unentgeltlichen Rechtspflege ist abzuweisen, da die Begehren - wie es sich aus den vorstehenden Erwägungen ergibt - als aussichtslos zu bezeichnen sind (Art. 65 Abs. 1 VwVG).</w:t>
      </w:r>
    </w:p>
    <w:p>
      <w:r>
        <w:rPr>
          <w:b/>
        </w:rPr>
        <w:t>E. 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5</w:t>
      </w:r>
    </w:p>
    <w:p>
      <w:r>
        <w:t>Dieser Entscheid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