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F-815/2024 vom 20. Februar 2024</w:t>
      </w:r>
    </w:p>
    <w:p>
      <w:r>
        <w:t>Bundesverwaltungsgericht, 2024-02-20, IT</w:t>
      </w:r>
    </w:p>
    <w:p>
      <w:r>
        <w:rPr>
          <w:b/>
        </w:rPr>
        <w:t xml:space="preserve">Quelle: </w:t>
      </w:r>
      <w:r>
        <w:t>https://mcp.opencaselaw.ch/entscheid/bvger_F-815_2024</w:t>
      </w:r>
    </w:p>
    <w:p>
      <w:r>
        <w:t>FR: TAF F-815/2024 du 20 février 2024</w:t>
      </w:r>
    </w:p>
    <w:p>
      <w:r>
        <w:t>IT: TAF F-815/2024 del 20 febbraio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una seconda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priva accettazione, espressa o tacita, di ripresa in carico del richiedente l'asilo da parte dello Stato in questione (cfr. DTAF 2017 VI/5 consid. 6.2).</w:t>
      </w:r>
    </w:p>
    <w:p>
      <w:r>
        <w:rPr>
          <w:b/>
        </w:rPr>
        <w:t>E. 4.3</w:t>
      </w:r>
    </w:p>
    <w:p>
      <w:r>
        <w:t>Ai sensi dell'art. 3 par. 1 RD III, la domanda di protezione internazionale è esaminata da un solo Stato membro, ossia quello individuato in base ai criteri enunciati al capo III (art. 7 - 15). 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4.4</w:t>
      </w:r>
    </w:p>
    <w:p>
      <w:r>
        <w:t>Giusta l'art. 18 par. 1 lett. d RD III, 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w:t>
      </w:r>
    </w:p>
    <w:p>
      <w:r>
        <w:rPr>
          <w:b/>
        </w:rPr>
        <w:t>E. 4.5</w:t>
      </w:r>
    </w:p>
    <w:p>
      <w:r>
        <w:t>Nella presente disamina, le investigazioni intraprese dalla SEM hanno rivelato che il ricorrente aveva depositato una domanda d'asilo in Germania il 6 dicembre 2021. Sulla scorta di tale circostanza, l'autorità inferiore, il 25 gennaio 2024, ha quindi chiesto alle autorità tedesche, nel termine fissato all'art. 23 par. 2 RD III, la ripresa in carico dell'interessato sulla base dell'art. 18 par. 1 lett. b RD III. La Germania, ha risposto affermativamente in data 29 gennaio 2024, quindi nel termine previsto all'art. 25 par. 1 RD III, fondandosi sull'art. 18 par. 1 lett. d RD III. Di conseguenza, la competenza della Germania è di principio data, ciò che non viene del resto censurato dal ricorrente nel suo gravame.</w:t>
      </w:r>
    </w:p>
    <w:p>
      <w:r>
        <w:rPr>
          <w:b/>
        </w:rPr>
        <w:t>E. 5.1</w:t>
      </w:r>
    </w:p>
    <w:p>
      <w:r>
        <w:t>Il ricorrente si oppone tuttavia ad un suo trasferimento verso il suddetto Paese, in quanto nel suo ricorso egli ritiene che la sua domanda di asilo non sia stata trattata correttamente, che le autorità tedesche potrebbero non garantirli una protezione efficace contro il respingimento e che sia stato perquisito con violenza dalla polizia tedesca.</w:t>
      </w:r>
    </w:p>
    <w:p>
      <w:r>
        <w:rPr>
          <w:b/>
        </w:rPr>
        <w:t>E. 5.2</w:t>
      </w:r>
    </w:p>
    <w:p>
      <w:r>
        <w:t>Ai sensi dell'art. 3 par. 2 RD III,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5.3</w:t>
      </w:r>
    </w:p>
    <w:p>
      <w:r>
        <w:t>Non v'è tuttavia alcuna seria ragione di ritenere che in Germania, sussistano carenze sistemiche ai sensi dell'art. 4 della Carta dei diritti fondamentali dell'Unione europea (GU C 364/1 del 18.12.2000, di seguito: CartaUE; cfr. D-6162/2023 del 15 novembre 2023 consid. 6, F-5370/2023 del 16 ottobre 2023 consid. 8.1). Inoltre, la presunzione secondo cui la Germania agisca in linea con gli standard e le norme previsti dal diritto europeo e internazionale non è stata rovesciata dal ricorrente, alla luce degli atti all'incarto e delle allegazioni ricorsuali. Quindi l'applicazione dell'art. 3 par. 2 seconda frase RD III, non si giustifica nel caso in rassegna.</w:t>
      </w:r>
    </w:p>
    <w:p>
      <w:r>
        <w:rPr>
          <w:b/>
        </w:rPr>
        <w:t>E. 6.1</w:t>
      </w:r>
    </w:p>
    <w:p>
      <w:r>
        <w:t>Resta ancora da esaminare se, come richiesto dal ricorrente nel gravame, malgrado la competenza di principio della Germania,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6.2</w:t>
      </w:r>
    </w:p>
    <w:p>
      <w:r>
        <w:t>Non si intravvedono poi negli atti di causa né nel ricorso, elementi che si opporrebbero ad un suo trasferimento nello Stato in questione. Segnatamente, egli non ha fornito indizi seri e concreti suscettibili di comprovare che un suo ritorno in Germania lo esporrebbe al rischio di essere privato del sostentamento minimo e di subire delle condizioni di vita indegna in violazione della direttiva 2013/33/UE del Parlamento europeo e del Consiglio del 26 giugno 2013 recante norme relative all'accoglienza dei richiedenti protezione internazionale.</w:t>
      </w:r>
    </w:p>
    <w:p>
      <w:r>
        <w:rPr>
          <w:b/>
        </w:rPr>
        <w:t>E. 6.3.1</w:t>
      </w:r>
    </w:p>
    <w:p>
      <w:r>
        <w:t>In relazione poi al suo stato di salute, occorre innanzitutto rammentare che secondo la giurisprudenza della Corte europea dei diritti dell'uomo (di seguito: CorteEDU), il respingimento forzato di persone che soffrono di problemi medici costituisce una violazione dell'art. 3 CEDU unicamente in circostanze eccezionali. Ciò risulta essere il caso segnatamente laddove la malattia dell'interessato si trovi ad uno stadio a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6.3.2</w:t>
      </w:r>
    </w:p>
    <w:p>
      <w:r>
        <w:t>Dalla documentazione medica del ricorrente si evince una diagnosi di sospetta Epatite C (riferita da lui), stanchezza cronica e una fistola anale complessa. Inoltre gli è stata diagnosticata una tossicodipendenza sino ad allora in terapia con metadone, e sostituta con Valium 5mg, Tramadol 200mg, nonché Paragol N 30ml. Nel rapporto del 6 febbraio 2024 al riguardo alla fistola anale viene programmata una risonanza magnetica (RM).</w:t>
      </w:r>
    </w:p>
    <w:p>
      <w:r>
        <w:rPr>
          <w:b/>
        </w:rPr>
        <w:t>E. 6.3.3</w:t>
      </w:r>
    </w:p>
    <w:p>
      <w:r>
        <w:t>Nella fattispecie, dagli atti all'inserto e dallo stato valetudinario dell'insorgente, senza volerne in alcun modo sminuire la portata, si evince che le sue condizioni di salute non appaiono di una gravità tale da comportare una violazione dell'art. 3 CEDU ai sensi della giurisprudenza testé referenziata. Il Tribunale rileva inoltre che, contrariamente a quanto sollevato dall'insorgente nel suo ricorso, il suo stato di salute risulta essere al momento stabile e non sono previste attualmente delle visite mediche per accertare altre patologie rispetto a quelle già diagnosticate. A tali condizioni, il Tribunale non vede alcuna ragione che impedirebbe all'interessato di continuare il suo seguito medico in Germania, paese che, a differenza di quanto argomentato nel gravame, dispone di strutture mediche di buona qualità. Peraltro, a tal proposito, si osserva come in quanto Stato firmatario della direttiva accoglienza, anche la Germania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Se il ricorrente ritenesse che i suoi diritti in tal senso vengano violati dalle autorità tedesche, apparterrà a lui adire le preposte vie legali presenti nel Paese, per far valere i suoi diritti. Sarà inoltre compito delle autorità svizzere incaricate dell'esecuzione, di prendere le misure destinate ad evitare ogni rischio nel quadro del rinvio e di assicurare una presa a carico adeguata dell'interessato al suo ritorno in Germania, informando in maniera precisa e completa le autorità tedesche dell'arrivo e dei problemi di salute dell'insorgente prima del suo trasferimento (cfr. art. 31 RD III).</w:t>
      </w:r>
    </w:p>
    <w:p>
      <w:r>
        <w:rPr>
          <w:b/>
        </w:rPr>
        <w:t>E. 6.4</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rispettivamente all'art. 29a cpv. 3 OAsi 1.</w:t>
      </w:r>
    </w:p>
    <w:p>
      <w:r>
        <w:rPr>
          <w:b/>
        </w:rPr>
        <w:t>E. 7</w:t>
      </w:r>
    </w:p>
    <w:p>
      <w:r>
        <w:t>Di conseguenza, in mancanza dell'applicazione di tali norme da parte della Svizzera, la Germania rimane competente per il seguito della domanda d'asilo e d'allontanamento del ricorrente in ossequio alle condizioni poste nel RD III.</w:t>
      </w:r>
    </w:p>
    <w:p>
      <w:r>
        <w:rPr>
          <w:b/>
        </w:rPr>
        <w:t>E. 8</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la richiesta tendente all'esenzione dal versamento di un anticipo sulle presumibili spese processuali, formulata dal ricorrente nel gravame, è divenuta senza 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 il Tribunale amministrativo federale pronuncia: 1. Il ricorso è respinto. 2. La domanda di assistenza giudiziaria, nel senso dell'esenzione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