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F-813/2026 vom 24. Februar 2026</w:t>
      </w:r>
    </w:p>
    <w:p>
      <w:r>
        <w:t>Bundesverwaltungsgericht, 2026-02-24, DE</w:t>
      </w:r>
    </w:p>
    <w:p>
      <w:r>
        <w:rPr>
          <w:b/>
        </w:rPr>
        <w:t xml:space="preserve">Quelle: </w:t>
      </w:r>
      <w:r>
        <w:t>https://mcp.opencaselaw.ch/entscheid/bvger_F-813_2026</w:t>
      </w:r>
    </w:p>
    <w:p>
      <w:r>
        <w:t>FR: TAF F-813/2026 du 24 février 2026</w:t>
      </w:r>
    </w:p>
    <w:p>
      <w:r>
        <w:t>IT: TAF F-813/2026 del 24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gegen den Nichteintretensentscheid gemäss Art. 31a Abs. 1 Bst. b AsylG (SR 142.31) betreffend das Asylgesuch des Beschwerdeführers und dessen Wegweisung. Nicht angefochten ist hingegen die Dispositivziffer 6, d.h. die Änderung des Geburtsdatums des Beschwerdeführers im ZEMIS. Dies ergibt sich - trotz «vollumfänglicher» Anfechtung der vorinstanzlichen Verfügung gemäss Beschwerdeantrag 1 - aus der Beschwerdebegründung, welche weder den ZEMIS-Eintrag im Konkreten noch das Alter des Beschwerdeführers im Allgemeinen thematisiert.</w:t>
      </w:r>
    </w:p>
    <w:p>
      <w:r>
        <w:rPr>
          <w:b/>
        </w:rPr>
        <w:t>E. 1.2</w:t>
      </w:r>
    </w:p>
    <w:p>
      <w:r>
        <w:t>Das Verfahren richtet sich nach dem VwVG, dem VGG und dem BGG, soweit das AsylG nichts anderes bestimmt (Art. 37 VGG und Art. 6 AsylG).</w:t>
      </w:r>
    </w:p>
    <w:p>
      <w:r>
        <w:rPr>
          <w:b/>
        </w:rPr>
        <w:t>E. 1.3</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1.4</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(Art. 111a Abs. 1 und 2 AsylG) zu behandeln ist.</w:t>
      </w:r>
    </w:p>
    <w:p>
      <w:r>
        <w:rPr>
          <w:b/>
        </w:rPr>
        <w:t>E. 2.1</w:t>
      </w:r>
    </w:p>
    <w:p>
      <w:r>
        <w:t>Die Vorinstanz hat korrekt erwogen, dass der Beschwerdeführer den Akten nach vier unterschiedliche, sich widersprechende Angaben zu seinem Geburtsdatum gemacht hat (Schweiz: [...] 2007, [...] 2008 und [...] 2008; Kroatien: [...] 2001) und er seine unterschriftlich bestätigten Angaben in der Schweiz gegen sich gelten lassen muss. Weiter hat die Vorinstanz unter Verweis auf die Rechtsprechung des Bundesverwaltungsgerichts hinsichtlich seines Alters korrekt erwogen, dass er in der Gesamtbeurteilung seine Minderjährigkeit nicht im Sinne von Art. 7 AsylG glaubhaft gemacht oder belegt hat. Der Beschwerdeführer hat bis dato keine rechtsgenüglichen Identitätspapiere eingereicht, welche seine Minderjährigkeit belegen würden. Die Angaben zu seinem Alter und Geburtsdatum während der EB UMA wirken konstruiert und legen die Vermutung nahe, dass er beabsichtigte, die Vorinstanz über sein wahres Geburtsdatum und Alter zu täuschen. Zusammenfassend kann mit der Vorinstanz festgehalten werden, dass die Aussagen des Beschwerdeführers kein Indiz für seine Minderjährigkeit darzustellen vermögen, da es ihnen an der erforderlichen Detailliertheit und Widerspruchsfreiheit fehlt. Mit seiner Registrierung als Volljähriger in Kroatien ([...] 2001) sowie seinem anlässlich der Kontrolle bei der Einreise in die Schweiz angegebenen Geburtsdatum ([...] 2007) und dem aus dem Altersgutachten vom 12. Dezember 2025 resultierenden Mindestalter von 19 Jahren liegen zudem starke Indizien für seine Volljährigkeit vor (vgl. Urteil des BVGer E-2342/2023 vom 5. Mai 2023 E. 6.7). Die Vorinstanz ging folglich zu Recht von der Volljährigkeit des Beschwerdeführers aus und wendete Art. 8 Abs. 4 Dublin-III-VO, aufgrund dessen der Beschwerdeführer bei gegebener Minderjährigkeit grundsätzlich vom Wiederaufnahmeverfahren ausgenommen wäre, nicht an. Der Beschwerdeführer macht auf Beschwerdeeben denn auch nicht mehr geltend, er sei minderjährig. Zudem hat die Vorinstanz korrekt erwogen, dass gemäss Art. 20 Abs. 5 Dublin-III-VO grundsätzlich Kroatien für die Behandlung des Asylgesuchs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unter Verletzung des Non-Refoulement-Gebots zur Ausreise gezwungen oder in eine existenzielle Notlage geraten würde. Darüber hinaus hat die Vorinstanz in rechtsfehlerfreier Ausübung des ihr nach Art. 17 Abs. 1 Dublin-III-VO und Art. 29a Abs. 3 AsylV 1 zukommenden Ermessens von einem freiwilligen Selbsteintritt der Schweiz abgesehen. Sie hat den Gesundheitszustand des Beschwerdeführers hinreichend abgeklärt und korrekt dahingehend gewürdigt, dass dem gemäss eigenen Angaben gesunden Beschwerdeführer in Kroatien der Zugang zur allenfalls benötigten medizinischen Behandlung offensteht. Die Vorinstanz ist demnach zu Recht in Anwendung von Art. 31a Abs. 1 Bst. b AsylG auf das Asylgesuch des Beschwerdeführers nicht eingetreten und hat in Anwendung von Art. 44 AsylG seine Wegweisung nach Kroatien angeordnet. Zur näheren Begründung wird auf die korrekten vorinstanzlichen Erwägungen verwiesen.</w:t>
      </w:r>
    </w:p>
    <w:p>
      <w:r>
        <w:rPr>
          <w:b/>
        </w:rPr>
        <w:t>E. 2.2</w:t>
      </w:r>
    </w:p>
    <w:p>
      <w:r>
        <w:t>Dass der Beschwerdeführer auf Rechtsmittelebene im Wesentlichen unsubstantiiert vorbringt, in Kroatien schlecht behandelt worden zu sein, vermag an der Richtigkeit der vorinstanzlichen Verfügung nichts zu ändern. Ebenso wenig vermögen dies seine allgemeinen und pauschalen Hinweise und Verweise auf nationale und internationale Berichte hinsichtlich systemischer Schwachstellen im kroatischen Asylsystem, ungenügender Unterbringungsbedingungen, fehlendem Rechtsweg, erschwertem Zugang zur Gesundheitsversorgung und Polizeigewalt gegenüber Schutzsuchenden. Manges systemischer Mängel im Sinne von Art. 3 Abs. 2 Dublin-III-VO kann davon ausgegangen werden, dass Kroatien seinen völker- und gemeinschaftsrechtlichen Verpflichtungen gegenüber Personen in der Situation des Beschwerdeführers nachkommt und insbesondere auch die Rechte respektiert und schützt, die sich aus der sogenannten Verfahrens- und Aufnahmerichtlinie ergeben (Richtlinien des Europäischen Parlaments und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Urteile des BVGer F-4894/2025 vom 15. Juli 2025 E. 7.1; F-1362/2025 vom 10. März 2025 E. 3.2). Entsprechend kann sich der Beschwerdeführer - entgegen seinen Vorbringen - bei allfälligen vorübergehenden Einschränkungen dieser Rechte an die kroatischen Behörden wenden und seine Rechte auf dem Rechtsweg einfordern (vgl. Art. 26 Aufnahmerichtlinie).</w:t>
      </w:r>
    </w:p>
    <w:p>
      <w:r>
        <w:rPr>
          <w:b/>
        </w:rPr>
        <w:t>E. 3</w:t>
      </w:r>
    </w:p>
    <w:p>
      <w:r>
        <w:t>Aus den vorstehenden Erwägungen ergibt sich, dass die angefochtene Verfügung vom 26. Januar 2026 nicht zu beanstanden ist. Die Beschwerde ist vollumfänglich abzuweisen.</w:t>
      </w:r>
    </w:p>
    <w:p>
      <w:r>
        <w:rPr>
          <w:b/>
        </w:rPr>
        <w:t>E. 4</w:t>
      </w:r>
    </w:p>
    <w:p>
      <w:r>
        <w:t>Nach dem Gesagten kann der Vorinstanz auch nicht vorgeworfen werden, den rechtserheblichen Sachverhalt unvollständig festgestellt zu haben, weshalb der entsprechende Eventualantrag auf Rückweisung der Sache an die Vorinstanz abzuweisen ist. Ebenso wenig besteht Anlass, die Vorinstanz anzuweisen, von den kroatischen Behörden individuelle Zusicherungen im Sinne des Subeventualantrags einzuholen, weshalb auch das entsprechende Subeventualbegehren abzuweisen ist.</w:t>
      </w:r>
    </w:p>
    <w:p>
      <w:r>
        <w:rPr>
          <w:b/>
        </w:rPr>
        <w:t>E. 5</w:t>
      </w:r>
    </w:p>
    <w:p>
      <w:r>
        <w:t>Mit vorliegendem Urteil fällt der am 4. Februar 2026 angeordnete Vollzugsstopp dahin und wird der Antrag auf Gewährung der aufschiebenden Wirkung gegenstandslos.</w:t>
      </w:r>
    </w:p>
    <w:p>
      <w:r>
        <w:rPr>
          <w:b/>
        </w:rPr>
        <w:t>E. 6</w:t>
      </w:r>
    </w:p>
    <w:p>
      <w:r>
        <w:t>Das Gesuch um Gewährung der unentgeltlichen Rechtspflege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