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F-8122/2024 vom 31. Dezember 2024</w:t>
      </w:r>
    </w:p>
    <w:p>
      <w:r>
        <w:t>Bundesverwaltungsgericht, 2024-12-31, DE</w:t>
      </w:r>
    </w:p>
    <w:p>
      <w:r>
        <w:rPr>
          <w:b/>
        </w:rPr>
        <w:t xml:space="preserve">Quelle: </w:t>
      </w:r>
      <w:r>
        <w:t>https://mcp.opencaselaw.ch/entscheid/bvger_F-8122_2024</w:t>
      </w:r>
    </w:p>
    <w:p>
      <w:r>
        <w:t>FR: TAF F-8122/2024 du 31 décembre 2024</w:t>
      </w:r>
    </w:p>
    <w:p>
      <w:r>
        <w:t>IT: TAF F-8122/2024 del 31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 Dabei entscheidet das Bundesverwaltungsgericht endgültig (Art. 105 AsylG i.V.m. Art. 31-33 VGG; Art. 83 Bst. d Ziff. 1 BGG).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4.2</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Der Beschwerdeführer besass ein bis zum 12. November 2024 gültiges Schengen-Visum, das ihm von den italienischen Behörden in Vertretung Maltas ausgestellt worden war (vgl. SEM-Akten 9/2, ID-002/4). Nachdem die maltesischen Behörden innert der in Art. 22 Abs. 1 Dublin-III-VO festgelegten Frist dem Aufnahmegesuch der Vorinstanz zugestimmt haben, ist die Zuständigkeit Maltas grundsätzlich gegeben.</w:t>
      </w:r>
    </w:p>
    <w:p>
      <w:r>
        <w:rPr>
          <w:b/>
        </w:rPr>
        <w:t>E. 4.3</w:t>
      </w:r>
    </w:p>
    <w:p>
      <w:r>
        <w:t>In grundlegender Hinsicht ist festzuhalten, dass die Dublin-III-VO den Schutzsuchenden kein Recht einräumt, den ihren Antrag prüfenden Staat selber auszuwählen (vgl. BVGE 2010/45 E. 8.3).</w:t>
      </w:r>
    </w:p>
    <w:p>
      <w:r>
        <w:rPr>
          <w:b/>
        </w:rPr>
        <w:t>E. 5.1</w:t>
      </w:r>
    </w:p>
    <w:p>
      <w:r>
        <w:t>Im Lichte von Art. 3 Abs. 2 Dublin-III-VO ist zu prüfen, ob es wesentliche Gründe für die Annahme gibt, das Asylverfahren und die Aufnahmebedingungen für Asylsuchende in Malta würden systemische Schwachstellen aufweisen, die eine Gefahr einer unmenschlichen oder entwürdigenden Behandlung im Sinne des Artikels 4 der EU-Grundrechtecharta mit sich bringen würden.</w:t>
      </w:r>
    </w:p>
    <w:p>
      <w:r>
        <w:rPr>
          <w:b/>
        </w:rPr>
        <w:t>E. 5.2</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BVGE 2012/27 und Urteil des BVGer E-3480/2023 vom 19. Juli 2023 E. 7.5 m.w.H.). Individuelle und konkrete Umstände, die diese Vermutung widerlegen könnten, hat der Beschwerdeführer weder vorgetragen noch dargetan. Unter diesen Umständen ist die Anwendung von Art. 3 Abs. 2 Dublin-III-VO nicht gerechtfertigt.</w:t>
      </w:r>
    </w:p>
    <w:p>
      <w:r>
        <w:rPr>
          <w:b/>
        </w:rPr>
        <w:t>E. 5.3</w:t>
      </w:r>
    </w:p>
    <w:p>
      <w:r>
        <w:t>Der Beschwerdeführer fordert mit seinem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Dieser Selbsteintritt ist zwingend auszuüben, sofern individuelle Überstellungshindernisse vorliegen (vgl. BVGE 2015/9 E. 8.2.1).</w:t>
      </w:r>
    </w:p>
    <w:p>
      <w:r>
        <w:rPr>
          <w:b/>
        </w:rPr>
        <w:t>E. 5.4</w:t>
      </w:r>
    </w:p>
    <w:p>
      <w:r>
        <w:t>Der Beschwerdeführer berief sich ausschliesslich auf seinen Gesundheitszustand, ohne konkrete Gefahren für eine ordnungsgemässe Behandlung seines Asylgesuchs durch die maltesischen Behörden oder allfällige Abhängigkeitsverhältnisse in der Schweiz geltend zu machen. Er behauptete, aufgrund seines physischen und psychischen Zustandes nicht in der Lage zu sein, in ein anderes Land weiterzureisen (vgl. SEM-Akten 18/3, 25/3). Er machte insbesondere Panikattacken, Schlafstörungen sowie Verdauungsprobleme geltend.</w:t>
      </w:r>
    </w:p>
    <w:p>
      <w:r>
        <w:rPr>
          <w:b/>
        </w:rPr>
        <w:t>E. 5.4.1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Aus dem ärztlichen Bericht vom 22. November 2024 geht hervor, dass der Beschwerdeführer an ADHS leidet, häufig Kopfschmerzen hat und unter Schlafstörungen leidet (vgl. SEM-Akten 26/3). Nach Aktenlage sind jedoch keine gesundheitlichen Beeinträchtigungen ersichtlich, die einer Überstellung nach Malta entgegenstehen würden (vgl. SEM-Akten 26/3, 27/1, 28/2).</w:t>
      </w:r>
    </w:p>
    <w:p>
      <w:r>
        <w:rPr>
          <w:b/>
        </w:rPr>
        <w:t>E. 5.4.2</w:t>
      </w:r>
    </w:p>
    <w:p>
      <w:r>
        <w:t>Im Übrigen ist allgemein bekannt, dass Malta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gibt keine konkreten Hinweise darauf, dass dem Beschwerdeführer eine angemessene medizinische Behandlung verweigert würde. Die schweizerischen Behörden, die mit dem Vollzug der angefochtenen Verfügung beauftragt sind, werden den medizinischen Umständen bei der Bestimmung der konkreten Modalitäten der Überstellung des Beschwerdeführers Rechnung tragen und die maltesischen Behörden vorgängig in geeigneter Weise über die spezifischen medizinischen Umstände informieren (vgl. Art. 31 f. Dublin-III-VO).</w:t>
      </w:r>
    </w:p>
    <w:p>
      <w:r>
        <w:rPr>
          <w:b/>
        </w:rPr>
        <w:t>E. 6</w:t>
      </w:r>
    </w:p>
    <w:p>
      <w:r>
        <w:t>Individuelle Garantien sind von den maltesischen Behörden nach dem Gesagten keine einzuholen. Das entsprechende (Subeventual-)Begehren des Beschwerdeführers ist abzuweisen.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Wegweisung nach Malta in Anwendung von Art. 44 AsylG ebenfalls zu Recht angeordnet (Art. 32 Bst. a AsylV 1).</w:t>
      </w:r>
    </w:p>
    <w:p>
      <w:r>
        <w:rPr>
          <w:b/>
        </w:rPr>
        <w:t>E. 8</w:t>
      </w:r>
    </w:p>
    <w:p>
      <w:r>
        <w:t>Die Beschwerde ist abzuweisen. Das Eventualbegehren um Rückweisung zu weiteren Sachverhaltsabklärungen ist damit abzuweisen. Mit dem vorliegenden Urteil fällt der am 27. Dezember 2024 angeordnete Vollzugsstopp dahin. Das Gesuch um Erteilung der aufschiebenden Wirkung ist gegenstandslos geworden.</w:t>
      </w:r>
    </w:p>
    <w:p>
      <w:r>
        <w:rPr>
          <w:b/>
        </w:rPr>
        <w:t>E. 9</w:t>
      </w:r>
    </w:p>
    <w:p>
      <w:r>
        <w:t>Die Begehren erweisen sich als aussichtslos, weshalb das Gesuch um unentgeltliche Prozessführung und Rechtsverbeiständung (Art. 65 Abs. 1 und Abs. 2 VwVG)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