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F-811/2021 vom 20. Mai 2022</w:t>
      </w:r>
    </w:p>
    <w:p>
      <w:r>
        <w:t>Bundesverwaltungsgericht, 2022-05-20, FR</w:t>
      </w:r>
    </w:p>
    <w:p>
      <w:r>
        <w:rPr>
          <w:b/>
        </w:rPr>
        <w:t xml:space="preserve">Quelle: </w:t>
      </w:r>
      <w:r>
        <w:t>https://mcp.opencaselaw.ch/entscheid/bvger_F-811_2021</w:t>
      </w:r>
    </w:p>
    <w:p>
      <w:r>
        <w:t>FR: TAF F-811/2021 du 20 mai 2022</w:t>
      </w:r>
    </w:p>
    <w:p>
      <w:r>
        <w:t>IT: TAF F-811/2021 del 20 maggio 2022</w:t>
      </w:r>
    </w:p>
    <w:p>
      <w:pPr>
        <w:pStyle w:val="Heading2"/>
      </w:pPr>
      <w:r>
        <w:t>Regeste</w:t>
      </w:r>
    </w:p>
    <w:p>
      <w:r>
        <w:t>Assistance administrative</w:t>
      </w:r>
    </w:p>
    <w:p>
      <w:pPr>
        <w:pStyle w:val="Heading2"/>
      </w:pPr>
      <w:r>
        <w:t>Erwägungen</w:t>
      </w:r>
    </w:p>
    <w:p>
      <w:r>
        <w:rPr>
          <w:b/>
        </w:rPr>
        <w:t>E. 5</w:t>
      </w:r>
    </w:p>
    <w:p>
      <w:r>
        <w:t>5.1.1 Pour ce qui est des conditions de fond, la recourante argue en premier lieu que les informations la concernant ne rempliraient pas la condition de la pertinence vraisemblable. En effet, elle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 5.1.2 En l'occurrence, dans l'ATF 146 II 150, le Tribunal fédéral a jugé d'une manière qui lie la Cour de céans (cf. consid. 1.4.3 ci-avant)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 supra) - répondait aux trois critères développés par la jurisprudence en lien avec les demandes groupées, applicables par analogie aux « demandes collectives », permettant d'exclure l'existence d'une fishing expedition (cf. consid. 2.5.2 ci-avant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 5.1.3 Il sied encore de relever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5.1.4 Partant, le grief relatif à la violation de la condition de la pertinence vraisemblable et du principe de proportionnalité doit être rejeté.</w:t>
      </w:r>
    </w:p>
    <w:p>
      <w:r>
        <w:rPr>
          <w:b/>
        </w:rPr>
        <w:t>E. 5.2.1</w:t>
      </w:r>
    </w:p>
    <w:p>
      <w:r>
        <w:t>Au moyen d'un deuxième grief, la recourante reproche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son grief, l'intéressée avance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AG à Francfort. Le serveur de sauvegarde comprenait des sauvegardes des ordinateurs des employés de B._______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AG à Francfort et auprès d'autres sites de B._______ en Allemagne. Lors de la perquisition au siège de la banque B._______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B._______ dans le cadre de la présente procédure d'assistance administrative (cf. Décision finale de l'AFC, ch. 6.4).</w:t>
      </w:r>
    </w:p>
    <w:p>
      <w:r>
        <w:rPr>
          <w:b/>
        </w:rPr>
        <w:t>E. 5.2.3</w:t>
      </w:r>
    </w:p>
    <w:p>
      <w:r>
        <w:t>Quant à l'existence d'un lien de causalité entre les données prétendument volées et la demande d'assistance administrative dont se prévaut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Partant, le grief tiré de la violation du principe de la bonne foi en lien avec l'utilisation de données volées doit être rejeté.</w:t>
      </w:r>
    </w:p>
    <w:p>
      <w:r>
        <w:rPr>
          <w:b/>
        </w:rPr>
        <w:t>E. 5.3.1</w:t>
      </w:r>
    </w:p>
    <w:p>
      <w:r>
        <w:t>Dans un troisième grief, l'intéressée avance que les principes de spécialité et de la confiance ne seraient pas respectés dans le cas d'espèce. A l'appui de son grief, elle argue, en lien avec les courriers des 14 janvier 2020 et 11 juillet 2017,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B._______,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B._______. Toutefois, on ne saurait déduire a contrario que l'autorité requérante entendrait violer le principe de spécialité à l'égard de la recourante. En effet, ni les éléments du dossier ni les affirmations de cette dernière - formulées de manière hypothétique - ne prouvent, ni même n'étayent, le fait prétendu que les informations relatives à l'intéressée pourraient être utilisées en violation du principe de spécialité. La garantie formulée par la DGFiP doit aussi être comprise à l'aune du caractère collectif de la demande qu'elle a présentée le 11 mai 2016 et concerne ainsi aussi des clients ou ex-clients de la banque B._______.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l'intéressée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5.3.5</w:t>
      </w:r>
    </w:p>
    <w:p>
      <w:r>
        <w:t>En conséquence, le grief invoqué par la recourante doit être rejeté.</w:t>
      </w:r>
    </w:p>
    <w:p>
      <w:r>
        <w:rPr>
          <w:b/>
        </w:rPr>
        <w:t>E. 5.4.1</w:t>
      </w:r>
    </w:p>
    <w:p>
      <w:r>
        <w:t>Quant aux griefs relatifs à la violation du principe de subsidiarité, l'intéressée invoque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l'intéressée.</w:t>
      </w:r>
    </w:p>
    <w:p>
      <w:r>
        <w:rPr>
          <w:b/>
        </w:rPr>
        <w:t>E. 5.4.4</w:t>
      </w:r>
    </w:p>
    <w:p>
      <w:r>
        <w:t>Compte tenu de ce qui précède, le respect du principe de subsidiarité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