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F-80/2020 vom 31. Mai 2021</w:t>
      </w:r>
    </w:p>
    <w:p>
      <w:r>
        <w:t>Bundesverwaltungsgericht, 2021-05-31, FR</w:t>
      </w:r>
    </w:p>
    <w:p>
      <w:r>
        <w:rPr>
          <w:b/>
        </w:rPr>
        <w:t xml:space="preserve">Quelle: </w:t>
      </w:r>
      <w:r>
        <w:t>https://mcp.opencaselaw.ch/entscheid/bvger_F-80_2020</w:t>
      </w:r>
    </w:p>
    <w:p>
      <w:r>
        <w:t>FR: TAF F-80/2020 du 31 mai 2021</w:t>
      </w:r>
    </w:p>
    <w:p>
      <w:r>
        <w:t>IT: TAF F-80/2020 del 31 maggio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 titre préalable, le Tribunal se doit de préciser que son pouvoir de décision ne porte que sur l'objet de la contestation ("Anfechtungsgegenstand") circonscrit par les questions tranchées dans le dispositif de la décision attaquée (cf. ATF 134 V 418 consid. 5.2.1 et ATF 131 II 200 consid. 3.2 ; cf. également Pierre Moor / Etienne Poltier, Droit administratif, vol. II : les actes administratifs et leur contrôle, 3ème édition, Berne 2011, p. 823). Le Tribunal n'examinera ainsi, dans le cadre de la présente procédure, que les rapports de droit sur lesquels l'autorité inférieure s'est prononcée dans le dispositif de sa décision du 18 novembre 2019, à savoir l'interdiction d'entrée prononcée à l'endroit de A._______. En considération de ce qui précède, les conclusions de la recourante dans ses observations du 13 juillet 2020, tendant à l'annulation de l'ordonnance du Ministère public de la République et canton de Genève du 9 décembre 2019, sont irrecevables, car extrinsèques à l'objet du présent litige. 4.Le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l'occurrence, bien que l'autorité inférieure cite la LEtr, force est de constater que la décision querellée a été prononcée le 18 novembre 2019, soit après l'entrée en vigueur au 1er janvier 2019 des modifications de la LEtr, de sorte que c'est la LEI dans sa teneur actuelle qui s'applique au cas d'espèce. Quoiqu'il en soit, la disposition applicable, soit l'art. 67 LEI n'a pas connu de modification de fond. 5.Conformément à l'art. 5 al. 1 LEI, tout étranger doit, pour entrer en Suisse, notamment avoir une pièce de légitimation reconnue pour le passage de la frontière et être muni d'un visa si ce dernier est requis(let.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divergentes(art. 2 al. 4 LEI). S'agissant des conditions d'entrée en Suisse pour un court séjour (soit un séjour n'excédant pas 90 jours sur toute période de 180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al. 1 LEI, l'entrée en Suisse et la sortie de Suisse sont régies par les accords d'association à Schengen. L'art. 6 par. 1 du code frontières Schengen, dont le contenu coïncide largement avec celui de l'art. 5 al. 1 LEI précité (cf. arrêt du TAF F-7153/2018 du 7 octobre 2019 consid. 5.2.1),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 dernier jour de séjour sur le territoire des États membres.</w:t>
      </w:r>
    </w:p>
    <w:p>
      <w:r>
        <w:rPr>
          <w:b/>
        </w:rPr>
        <w:t>E. 6.1</w:t>
      </w:r>
    </w:p>
    <w:p>
      <w:r>
        <w:t>L'interdiction d'entrée est régie par l'art. 67 LEI. Selon l'al. 2 de cette disposition,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6.2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des étrangers (cf. Message LEtr,FF 2002 3469, 3568). Selon la jurisprudence constante du Tribunal, le fait d'entrer, de séjourner ou de travailler en Suisse sans autorisation représente une violation grave des prescriptions de police des étrangers(arrêts du TAF F-2581/2016 du 21 février 2018 consid. 5.3 et F-2164/2017du 17 novembre 2017 consid. 5.2).</w:t>
      </w:r>
    </w:p>
    <w:p>
      <w:r>
        <w:rPr>
          <w:b/>
        </w:rPr>
        <w:t>E. 6.3</w:t>
      </w:r>
    </w:p>
    <w:p>
      <w:r>
        <w:t>L'autorité compétente examine selon sa libre appréciation si une interdiction d'entrée doit être prononcée. Elle doit donc procéder à une pondération méticuleuse de l'ensemble des intérêts en présence et respecter le principe de la proportionnalité (ATF 139 II 121 consid. 6.5.1 ; ATAF2017 VII/2 consid. 4.5). 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6.4</w:t>
      </w:r>
    </w:p>
    <w:p>
      <w:r>
        <w:t>Si un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7.1</w:t>
      </w:r>
    </w:p>
    <w:p>
      <w:r>
        <w:t>Dans un premier temps, il convient d'examiner si le principe d'une interdiction d'entrée en Suisse et au Liechtenstein à l'endroit de la recourante se justifie. L'autorité inférieure a prononcé cette mesure pour une durée de deux ans, soit jusqu'au 17 novembre 2021, au motif que l'intéressée « avait séjourné illégalement dans l'Espace Schengen, en Suisse en particulier, durant près de 258 jours après l'expiration de la durée du séjour non soumis à autorisation » et qu'elle avait ainsi « sérieusement attenté, par son comportement, à la sécurité et à l'ordre publics, au sens de l'art. 67 LEI ». Dans son recours du 6 janvier 2020, A._______ a contesté avoir dépassé de 258 jours la durée de son séjour autorisé dans l'Espace Schengen, en alléguant avoir séjourné durant près de 6 mois en Grande-Bretagne depuis le 3 décembre 2018 et n'avoir ensuite jamais séjourné plus de trois mois en Suisse, mais avoir dû différer son départ de l'Europe pour son pays en raison d'une fracture au pied diagnostiquée en Suisse le 20 juin 2019.</w:t>
      </w:r>
    </w:p>
    <w:p>
      <w:r>
        <w:rPr>
          <w:b/>
        </w:rPr>
        <w:t>E. 7.2</w:t>
      </w:r>
    </w:p>
    <w:p>
      <w:r>
        <w:t>L'examen des pièces du dossier amène le Tribunal à constater que la recourante est entrée dans l'Espace Schengen, soit à l'aéroport de Genève, le 3 décembre 2018 (cf. copie de son passeport) et qu'elle en est ressortie par le même aéroport le 15 novembre 2019. Il apparaît certes que l'intéressée s'est directement rendue, le 3 décembre 2018, en Grande-Bretagne (pays non membre de l'Espace Schengen), où elle a apparemment séjourné jusqu'à la fin du mois de mai 2019, si l'on se réfère à ses allégations et à la déclaration écrite de sa logeuse à Londres, dont il n'y pas de raison de mettre en cause la crédibilité. Si la recourante a certes rendu vraisemblable avoir séjourné durant plusieurs mois en Grande-Bretagne, il convient de remarquer qu'elle avait alors déjà accompli quelques périodes de séjour dans l'Espace Schengen, puisqu'elle se serait alors rendue « à plusieurs reprises et pour de courts séjours... en Allemagne et en Suisse », selon les termes mêmes de sa logeuse à Londres dans sa déclaration écrite du 3 février 2020. Le Tribunal considère à cet égard que la durée exacte de ces séjours temporaires n'a pas besoin d'être davantage élucidée, dès lors qu'il n'est pas contesté que la recourante est revenue en Suisse au plus tard à la fin du mois de mai 2019 et qu'elle n'a, depuis lors, plus quitté l'Espace Schengen jusqu'au 15 novembre 2019.</w:t>
      </w:r>
    </w:p>
    <w:p>
      <w:r>
        <w:rPr>
          <w:b/>
        </w:rPr>
        <w:t>E. 7.3</w:t>
      </w:r>
    </w:p>
    <w:p>
      <w:r>
        <w:t>Aussi, même dans l'hypothèse la plus favorable à l'intéressée, il est établi et non contesté que celle-ci a séjourné sans interruption en Suisse et en Allemagne à tout le moins entre la fin du mois de mai 2019 et le 15 novembre 2019 et qu'elle ainsi clairement dépassé (d'environ deux mois et demi) la période maximale de 90 jours consécutifs de séjour autorisé dans l'Espace Schengen. Cela étant, même si la durée du séjour non autorisé imputé à la recourante par l'autorité inférieure (soit un dépassement de 258 jours de la durée de séjour autorisé) doit être fortement revu à la baisse, il n'en demeure pas moins que l'infraction retenue par le SEM est réalisée et que l'intéressée a ainsi, par son comportement, porté atteinte à la sécurité et à l'ordre publics au sens de l'art. 80 al. 1 let. a OASA. La recourante se devait en effet de respecter la législation en vigueur, ce qu'elle n'a manifestement pas fait, étant rappelé que la méconnaissance ou la mésinterprétation de la réglementation en matière de visa ou de séjour ne constitue pas un motif de renonciation au prononcé d'une mesure d'éloignement (cf. arrêt du TAF F-6753/2017 du 3 août 2018 consid. 4.3). Dans ces circonstances, l'argument tiré de la blessure au pied subie par la recourante ne saurait expliquer à lui seul le dépassement de séjour autorisé qui lui est reproché, ce d'autant moins que celle-ci a reconnu, dans ses observations du 13 juillet 2020, qu'elle avait prolongé son séjour dans l'Espace Schengen, d'abord en raison du prix élevé des billets d'avion durant les mois de juillet-août 2019, puis en raison d'engagements au sein de son association durant les deux mois suivants. En conséquence, le Tribunal est amené à conclure que l'interdiction d'entrée prononcée par le SEM est parfaitement justifiée dans son principe. 8.Il convient encore d'examiner si la mesure d'éloignement prise par l'autorité intimée satisfait aux principes de proportionnalité et de l'égalité de traitement. 8.1 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consid. 6.1 et la jurisprudence citée). 8.2 En l'espèce, le Tribunal observe que les motifs retenus dans la décision attaquée, s'agissant d'un dépassement du séjour autorisé dans l'Espace Schengen, sont clairement établis. Au vu du nombre élevé d'infractions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 Cela étant, compte tenu de ce que le SEM a retenu dans son prononcé un dépassement de séjour autorisé (de 258 jours) nettement supérieur à la réalité, le Tribunal considère que l'interdiction d'entrée prononcée le 18 novembre 2019 apparaît quelque peu excessive et qu'il convient d'en limiter les effets à ce jour. 9.Dans son prononcé du 18 novembre 2019, le SEM a par ailleurs ordonné l'inscription de l'interdiction d'entrée dans le SIS II. En raison de ce signalement, il est interdit à la recourante de pénétrer dans l'Espace Schengen. 9.1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 9.2 Dans le cas d'espèce, ce signalement au SIS II est justifié par les faits retenus et satisfait au principe de la proportionnalité au vu des circonstances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10.1</w:t>
      </w:r>
    </w:p>
    <w:p>
      <w:r>
        <w:t>Il ressort de qui précède que le recours est partiellement admis et la décision du SEM du 18 novembre 2019 est réformée, en ce sens que les effets de l'interdiction d'entrée sont limités au jour du présent arrêt.</w:t>
      </w:r>
    </w:p>
    <w:p>
      <w:r>
        <w:rPr>
          <w:b/>
        </w:rPr>
        <w:t>E. 10.2</w:t>
      </w:r>
    </w:p>
    <w:p>
      <w:r>
        <w:t>Dans la mesure où la recourante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 S'agissant de l'allocation d'éventuels dépens, le Tribunal constate que la recourante n'était pas représentée dans la présente cause et qu'elle n'a, ni allégué, ni établi, que la procédure de recours lui aurait occasionné des frais relativement élevés, de sorte qu'elle ne saurait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