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F-809/2016 vom 21. Juli 2016</w:t>
      </w:r>
    </w:p>
    <w:p>
      <w:r>
        <w:t>Bundesverwaltungsgericht, 2016-07-21, DE</w:t>
      </w:r>
    </w:p>
    <w:p>
      <w:r>
        <w:rPr>
          <w:b/>
        </w:rPr>
        <w:t xml:space="preserve">Quelle: </w:t>
      </w:r>
      <w:r>
        <w:t>https://mcp.opencaselaw.ch/entscheid/bvger_F-809_2016</w:t>
      </w:r>
    </w:p>
    <w:p>
      <w:r>
        <w:t>FR: TAF F-809/2016 du 21 juillet 2016</w:t>
      </w:r>
    </w:p>
    <w:p>
      <w:r>
        <w:t>IT: TAF F-809/2016 del 21 luglio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Mangels besonderer Bestimmungen im VGG beurteilt sich die Beschwerdelegitimation nach Art. 48 VwVG.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müssen kumulativ erfüllt sein, ansonsten ist auf die Beschwerde nicht einzutreten. Die Beschwerdelegitimation ist von Amtes wegen zu prüfen.</w:t>
      </w:r>
    </w:p>
    <w:p>
      <w:r>
        <w:rPr>
          <w:b/>
        </w:rPr>
        <w:t>E. 1.2.1</w:t>
      </w:r>
    </w:p>
    <w:p>
      <w:r>
        <w:t>Als erste Voraussetzung nennt Art. 48 Abs. 1 Bst. a VwVG die sog. formelle Beschwer. Dies bedeutet, dass die beschwerdeführende Person am vorinstanzlichen Verfahren teilgenommen haben muss, soweit sie dazu in der Lage war, und mit ihren Anträgen ganz oder teilweise unterlegen ist (vgl. Marantelli-Sonanini/Huber, in: Waldmann/Weissenberger [Hrsg.], Praxiskommentar VwVG, 2016, Art. 48 N. 22; Isabelle Häner, in: Auer/Müller/Schindler [Hrsg.], Kommentar zum Bundesgesetz über das Verwaltungsverfahren [VwVG], 2008, Art. 48 N. 6). Ob diese Voraussetzungen vorliegend erfüllt sind, ist im Folgenden zu prüfen (vgl. Urteil des BVGer C-6037/2014 vom 19. November 2015 E. 1.3 m.w.H.).</w:t>
      </w:r>
    </w:p>
    <w:p>
      <w:r>
        <w:rPr>
          <w:b/>
        </w:rPr>
        <w:t>E. 1.2.2</w:t>
      </w:r>
    </w:p>
    <w:p>
      <w:r>
        <w:t>Im vorliegenden Verfahren erhob die Gesuchstellerin Einsprache gegen den abschlägigen Bescheid der Botschaft. Der Gastgeber bzw. Beschwerdeführer erhob formell selber keine Einsprache und konstituierte sich erst im Beschwerdeverfahren als Partei. Allerdings war er insofern am Einspracheverfahren beteiligt, als er mittels des ihm vom Migrationsamt des Kantons Thurgau zugestellten Fragebogens bei der Sachverhaltsfeststellung mitwirkte. Darüber hinaus gab er offensichtlich im Hinblick auf die Einsprache der Gesuchstellerin ausdrücklich eine schriftliche Garantie bezüglich des Verlassens des Schengen-Raums und der fristgerechten Rückreise ab und schloss sich insofern implizit der Einsprache an (SEM act. 8/27 ff. insb. 31). Die Voraussetzung der Teilnahme am Vorverfahren ist daher als erfüllt zu betrachten, da Art. 48 Abs. 1 Bst. a VwVG im vorliegenden Zusammenhang weit auszulegen ist (vgl. demgegenüber etwa Urteile des BVGer C 1780/2011 vom 18. Februar 2013 E. 1.3; C 3929/2012 vom 9. April 2013 E. 1.3, in denen die Frage der formellen Beschwer in ähnlich gelagerten Fällen offen gelassen wurde). Dies rechtfertigt sich hier - jedenfalls mit Bezug auf den Beschwerdeführer - umso mehr, als die Vorinstanz den Einspracheentscheid nicht nur postalisch an den als Zustelldomizil figurierenden Beschwerdeführer adressierte, sondern sich auch in der Anrede und im weiteren Verfügungstext direkt an diesen richtete (vgl. auch C-3929/2012 E. 1.3 in fine).</w:t>
      </w:r>
    </w:p>
    <w:p>
      <w:r>
        <w:rPr>
          <w:b/>
        </w:rPr>
        <w:t>E. 1.2.3</w:t>
      </w:r>
    </w:p>
    <w:p>
      <w:r>
        <w:t>Nachdem sowohl das Erfordernis der formellen Beschwer nach Art. 48 Abs. 1 Bst. a VwVG als auch die weiteren formellen Voraussetzungen erfüllt sind (vgl. Art. 48 Abs. 1 Bst. b und c VwVG, Art. 50 und 52 VwVG), ist auf die Beschwerde einzutreten (vgl. zum Ganzen BVGE 2014/1 E. 1.3).</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pakistanischen Staatsangehörigen um Erteilung eines Visums für einen sechswöchigen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 a.M. PHILIPP EGLI / TOBIAS D. MEYER, in: Caroni / Gächter / Thurnherr [Hrsg.], Stämpflis Handkommentar zum Bundesgesetz über die Ausländerinnen und Auslän-der, Bern 2010, Art. 5 N. 3 f).</w:t>
      </w:r>
    </w:p>
    <w:p>
      <w:r>
        <w:rPr>
          <w:b/>
        </w:rPr>
        <w:t>E. 5</w:t>
      </w:r>
    </w:p>
    <w:p>
      <w:r>
        <w:t>5.1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Abs. 1 VEV).</w:t>
      </w:r>
    </w:p>
    <w:p>
      <w:r>
        <w:rPr>
          <w:b/>
        </w:rPr>
        <w:t>E. 5.2</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5.4</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pakistanischen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w:t>
      </w:r>
    </w:p>
    <w:p>
      <w:r>
        <w:rPr>
          <w:b/>
        </w:rPr>
        <w:t>E. 6.2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6.3</w:t>
      </w:r>
    </w:p>
    <w:p>
      <w:r>
        <w:t>Bedingt durch seine günstige geographische Lage, Ressourcenreichtum, niedrige Lohnkosten und eine wachsende junge Bevölkerung und Mittelschicht, verfügt Pakistan über ein hohes Potential für wirtschaftliches Wachstum. Aufgrund der jahrzehntelangen Vernachlässigung der sozialen Infrastruktur und der periodisch wiederkehrenden politischen Instabilität wird dieses Potential jedoch nicht ausgeschöpft; so blieb das Wirtschaftswachstum von 4,2% im Haushaltsjahr 2014/2015 (Juli 2014 - Juni 2015) hinter den Möglichkeiten des Landes zurück. Als eines der grössten Wachstumshemmnisse gilt die prekäre Sicherheitslage des Landes. Seit Jahren kommt es zu Terroranschlägen der Taliban und anderer terroristischer Organisationen, insbesondere auch in den Grossstädten wie Karachi, Lahore oder Rawalpindi. Sie richten sich vor allem gegen Einrichtungen des Militärs oder der Polizei; Ziele sind aber auch andere politische Gegner und religiöse Minderheiten (Quellen: www.auswaertiges-amt.de &gt; Aussen- und Europapolitik &gt; Länderinformationen &gt; Pakistan &gt; Wirtschaft / Innenpolitik [Stand: Mai 2016] / Reise- und Sicherheitshinweise [Stand 31. Mai 2016]; www.worldbank.org &gt; Countries &gt; Pakistan &gt; Overview [Stand: 17. Mai 2016]; beide Websites besucht im Juli 2016).</w:t>
      </w:r>
    </w:p>
    <w:p>
      <w:r>
        <w:rPr>
          <w:b/>
        </w:rPr>
        <w:t>E. 6.4</w:t>
      </w:r>
    </w:p>
    <w:p>
      <w:r>
        <w:t>In Anbetracht dieser Umstände ist grundsätzlich nicht zu beanstanden, dass die Vorinstanz das Risiko einer nicht fristgerechten Wiederausreise allgemein als hoch einschätzt. Das Risiko ist insofern zu bekräftigen, als die Bereitschaft, das Land auf Dauer zu verlassen, durch bereits im Ausland lebende nahe Verwandte erfahrungsgemäss begünstigt werden kann.</w:t>
      </w:r>
    </w:p>
    <w:p>
      <w:r>
        <w:rPr>
          <w:b/>
        </w:rPr>
        <w:t>E. 6.5</w:t>
      </w:r>
    </w:p>
    <w:p>
      <w:r>
        <w:t>Bei der Risikoanalyse sind neben allgemeinen Umständen und Erfahrungen sämtliche Gesichtspunkte des konkreten Einzelfalls zu berücksichtigen. In beweisrechtlicher Hinsicht ist festzuhalten, dass ein Visum nur erteilt werden darf, wenn keine begründeten Zweifel an der Absicht der Gesuchstel­lerin bestehen, den Schengen-Raum vor Ablauf des Visums zu verlassen (vgl. BVGE 2014/1 E. 4.4 und E. 6.3.1 je m.H). 7.7.1 Bei der Gesuchstellerin handelt es sich um eine 20 ½ -jährige, verheiratete und kinderlose Frau. Hinsichtlich ihrer persönlichen Lebensumstände in Pakistan ist nur wenig bekannt. Nach Darstellung des Beschwerdeführers ist sie seine Schwägerin. Laut den Angaben der Gesuchstellerin bei der Schweizer Botschaft in Islamabad befindet sich ihr Ehemann in Spanien. Sie hat kein Familienbuch vorweisen können, welches ihre Verbindung zum Gastgeber hätte nachweisen können (SEM act. 6/23). Die Beziehung zum Gastgeber ist somit nicht klar und die Bedenken der Vor-instanz, die Gesuchstellerin könnte ihrem Ehemann nach Spanien folgen, erscheinen nicht unwahrscheinlich. Die familiären Verhältnisse - insbesondere der Aufenthaltsort des Ehemannes der Gesuchstellerin - wurden im Gesuchs- und anschliessenden Rechtsmittelverfahren nicht weiter erläutert und es kann vor dem aktenkundigen Hintergrund weder von persönlichen noch von familiären Verpflichtungen ausgegangen werden, denen die Gesuchstellerin in ihrem Heimatland unterliegen würde und die in besonderem Masse geeignet wären, Gewähr für eine Rückkehr dorthin zu bieten. Vielmehr kann nicht ausgeschlossen werden, dass die Gesuchstellerin ihrem Ehemann folgen möchte. 7.2 Bezüglich ihrer wirtschaftlichen Verhältnisse wurde im Beschwerdeverfahren geltend gemacht, die Gesuchstellerin komme aus stabilen Familienverhältnissen und sei mit ihrem Leben im Heimatland sehr zufrieden. Es wurden jedoch keine Beweismittel zu den Akten gereicht. Die Gesuchstellerin liess die Frage zu ihrer beruflichen Tätigkeit im Visumsformular unbeantwortet (SEM act. 5/11 Nr. 19). Laut Schweizer Botschaft ist sie nicht erwerbstätig (SEM act. 6/23). Demzufolge bleibt auch im Beschwerdeverfahren unklar, von welchen Subsistenzmitteln die Gesuchstellerin lebt bzw. in welchen Verhältnissen sich ihre Familie befindet. Es versteht sich von selbst, dass auch solche Umstände nicht auf eine Verwurzelung, sondern im Gegenteil auf die besondere Gefahr schliessen lassen, dass die Betroffene - wie viele andere auch - eine Sicherung ihrer Existenz durch Emigration ins Ausland suchen könnte. 7.3 Soweit der Beschwerdeführer darauf hingewiesen hatte, er habe in der Vergangenheit mehrmals Besucher aus Pakistan zu Gast gehabt und alle seien jeweils fristgerecht und anstandslos ins Heimatland zurückgekehrt, gilt es darauf hinzuweisen, dass jeder Einzelfall - wie vorliegend belegt - eine ihm eigene und spezifische Konstellation aufweist, so dass er nicht ohne Weiteres mit anderen, angeblich gleich gelagerten Fällen verglichen werden kann. 8.Vor dem aufgezeigten Hintergrund durfte die Vorinstanz davon ausgehen, es beständen begründete Zweifel am Aufenthaltszweck der Gesuch- stellerin bzw. es bestehe nicht genügend Gewähr für eine anstandslose und fristgerechte Wiederausreise. Entsprechend ergab sich auch kein Raum für die Erteilung eines einheitlichen Schengen-Visums. An dieser Beurteilung vermögen auch die Zusicherungen des Beschwerdeführers, er garantiere die Wiederausreise der Gesuchstellerin, nichts zu ändern. Als Gastgeber kann er zwar für gewisse finanzielle Risiken im Zusammenhang mit dem Besuchsaufenthalt, aus nahe liegenden Gründen aber nicht für ein bestimmtes Verhalten der Gesuchstellerin garantieren. Denn bei der Abwägung des Risikos einer nicht fristgerechten Wiederausreise ist naturgemäss nicht so sehr die Haltung des Gastgebers, sondern in erster Linie das mögliche Verhalten der Gesuchstellerin selbst von Bedeutung. Nur Letztere ist in der Lage, hinreichend Gewähr für ihre Rückkehrbereitschaft zu bieten (BVGE 2009/27 E. 9). 9.Gründe für die Ausstellung eines Visums mit räumlich beschränkter Gültigkeit (vgl. E. 4.5) wurden vom Beschwerdeführer nicht geltend gemacht und ergeben sich auch sonst nicht aus den Akten. 10.Aus den vorstehenden Erwägungen folgt, dass die angefochtene Verfügung sich im Lichte von Art. 49 VwVG als rechtmässig erweist. Die Beschwerde ist daher abzuweisen. 11.Entsprechend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