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F-8085/2016 vom 23. Juni 2017</w:t>
      </w:r>
    </w:p>
    <w:p>
      <w:r>
        <w:t>Bundesverwaltungsgericht, 2017-06-23, FR</w:t>
      </w:r>
    </w:p>
    <w:p>
      <w:r>
        <w:rPr>
          <w:b/>
        </w:rPr>
        <w:t xml:space="preserve">Quelle: </w:t>
      </w:r>
      <w:r>
        <w:t>https://mcp.opencaselaw.ch/entscheid/bvger_F-8085_2016</w:t>
      </w:r>
    </w:p>
    <w:p>
      <w:r>
        <w:t>FR: TAF F-8085/2016 du 23 juin 2017</w:t>
      </w:r>
    </w:p>
    <w:p>
      <w:r>
        <w:t>IT: TAF F-8085/2016 del 23 giugno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Dans son arrêt, le Tribunal prend en considération l'état de fait régnant au moment où il statue (cf. ATAF 2014/1 consid. 2).</w:t>
      </w:r>
    </w:p>
    <w:p>
      <w:r>
        <w:rPr>
          <w:b/>
        </w:rPr>
        <w:t>E. 3.1</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3.2</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 cf. aussi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 à l'instar du recourant - a été condamnée dans un État membre pour une infraction passible d'une peine privative de liberté d'au moins un an (cf. art. 24 par. 2 let. a SIS II).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art. 2 al. 4 de l'ordonnance sur l'entrée et l'octroi de visas du 22 octobre 2008 [RS 142.204] et arrêt du Tribunal administratif fédéral F-7298/2016 du 19 juin 2016 consid. 4).</w:t>
      </w:r>
    </w:p>
    <w:p>
      <w:r>
        <w:rPr>
          <w:b/>
        </w:rPr>
        <w:t>E. 3.3</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3.4</w:t>
      </w:r>
    </w:p>
    <w:p>
      <w:r>
        <w:t>Une interdiction d'entrée peut notamment être prononcée lorsque l'étranger a violé les prescriptions du droit en matière d'étrangers (cf. message précité, FF 2002 3568). 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de revenir en Suisse (ou dans l'Espace Schengen) à l'insu des autorités (cf. ATAF 2008/24 consid. 4.1 et 4.2 ; Message précité du 8 mars 2002, p. 3568 ad art. 66 du projet; Zünd/Arquint Hill, Beendigung der Anwesenheit, Entfernung und Fernhaltung, in: Uebersax/Rudin/Hugi Yar/ Geiser [éd.], Ausländerrecht, Bâle 2009, p. 355 n. 8.80). L'autorité compétente examine selon sa libre appréciation si une interdiction d'entrée doit être prononcée. Elle doit donc procéder à une pondération méticuleuse de l'ensemble des intérêts en présence et respecter le principe de la proportionnalité (cf. Zünd / Arquint Hill, op.cit., ibid.).</w:t>
      </w:r>
    </w:p>
    <w:p>
      <w:r>
        <w:rPr>
          <w:b/>
        </w:rPr>
        <w:t>E. 4</w:t>
      </w:r>
    </w:p>
    <w:p>
      <w:r>
        <w:t>En l'occurrence, le SEM a retenu dans sa décision d'interdiction d'entrée du 15 décembre 2016 qu'A._______ avait été condamné pénalement, le 20 août 2015, pour séjour illégal et lésions corporelles simples. Aussi a-t-il considéré qu'une telle mesure d'éloignement s'imposait en raison de la gravité des infractions commises et de la mise en danger de la sécurité et de l'ordre publics qui en découlait.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sa durée de trois ans satisfait aux principes de la proportionnalité et de l'égalité de traitement.</w:t>
      </w:r>
    </w:p>
    <w:p>
      <w:r>
        <w:rPr>
          <w:b/>
        </w:rPr>
        <w:t>E. 4.1</w:t>
      </w:r>
    </w:p>
    <w:p>
      <w:r>
        <w:t>L'examen du dossier montre que le comportement de l'intéressé durant sa présence sur territoire helvétique a donné lieu à une condamnation pénale le 20 août 2015 qui était liée, d'une part, à une infraction à la législation sur les étrangers (art. 115 al. 1 let. b LEtr) et, d'autre part, à une atteinte à l'intégrité corporelle d'une personne (art. 123 ch. 1 CP). Il appert ainsi qu'A._______ a séjourné sans autorisation à Genève et Lausanne durant une période relativement longue, soit entre le courant de l'année 2011 et le 18 août 2014, et qu'il a assené, le 1er novembre 2013, un coup de poing au niveau du visage et de la tête d'un tiers qui est tombé à terre (cf. ordonnance pénale du 20 août 2015). Dans son mémoire de recours, A._______ ne conteste nullement les faits ayant fondé l'interdiction d'entrée prononcée à son endroit le 15 décembre 2016, mais se limite à en relativiser la gravité. Ainsi, il soutient être « un jeune homme tout à fait pacifique », mais avoir dû user de violence envers un citoyen italien « d'origine sicilienne extrêmement jaloux » dans le but de protéger son amie et l'enfant de cette dernière (cf. mémoire de recours, p. 2, et pièce produite le 16 mai 2017). Le Tribunal constate que pareil élément aurait pu et dû être invoqué devant l'instance de recours pénale par la voie de l'opposition, de sorte qu'il ne saurait à ce stade être retenu dans le cadre de la présente procédure. Par ailleurs, il sied de noter que, selon la jurisprudence constante du Tribunal de céans, le fait d'entrer, de séjourner et/ou de travailler en Suisse sans autorisation constitue une violation grave des prescriptions de police des étrangers (cf. notamment les arrêts du Tribunal administratif fédéral F-2972/2015 du 4 novembre 2016 consid. 6.1, F-1919/2016 du 6 octobre 2016 consid. 4.4 et F-5267/2015 du 18 août 2016 consid. 4.5.3, avec la jurisprudence citée). S'agissant enfin de l'argument tiré de la régularisation proche des modalités de son séjour en Suisse, il suffit de relever que le recourant n'a produit aucune pièce probante à ce sujet, si bien qu'il suffit de le renvoyer sur ce point à l'arrêt rendu par le Tribunal cantonal vaudois le 25 août 2016 (cf. consid. 4).</w:t>
      </w:r>
    </w:p>
    <w:p>
      <w:r>
        <w:rPr>
          <w:b/>
        </w:rPr>
        <w:t>E. 4.2</w:t>
      </w:r>
    </w:p>
    <w:p>
      <w:r>
        <w:t>A ce stade, il s'impose donc de retenir qu'A._______, par son comportement répréhensible, a indiscutablement attenté à la sécurité et à l'ordre publics en Suisse, de sorte qu'il remplit incontestablement les conditions d'application de l'art. 67 al. 2 let. a LEtr. Aussi la mesure d'interdiction d'entrée rendue par le SEM le 15 décembre 2016 est-elle parfaitement justifiée dans son principe.</w:t>
      </w:r>
    </w:p>
    <w:p>
      <w:r>
        <w:rPr>
          <w:b/>
        </w:rPr>
        <w:t>E. 5</w:t>
      </w:r>
    </w:p>
    <w:p>
      <w:r>
        <w:t>Il convient encore d'examiner si la durée de ladite mesure d'éloignement satisfait aux principes de la proportionnalité et de l'égalité de traitement.</w:t>
      </w:r>
    </w:p>
    <w:p>
      <w:r>
        <w:rPr>
          <w:b/>
        </w:rPr>
        <w:t>E. 5.1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arrêt du Tribunal administratif fédéral F-5267/2015 précité consid. 6.1). 5.2 S'agissant de l'intérêt public à l'éloignement du recourant de Suisse, le Tribunal observe que le motif (condamnation pénale du 20 août 2015) retenu à l'appui de la mesure d'éloignement ne saurait être contesté. En particulier, l'infraction aux prescriptions de police des étrangers doit par ailleurs être qualifiée de grave au sens indiqué plus haut (cf. consid. 4.1 supra). Compte tenu du nombre élevé de contraventions commises dans ce domaine, les autorités sont en effet contraintes d'intervenir avec sévérité afin d'assurer la stricte application des prescriptions édictées en la matière. Il en va de l'intérêt de l'Etat à voir respecter l'ordre établi et la législation en vigueur (cf. arrêt du Tribunal administratif fédéral F-5267/2015 précité consid. 6.3)</w:t>
      </w:r>
    </w:p>
    <w:p>
      <w:r>
        <w:rPr>
          <w:b/>
        </w:rPr>
        <w:t>E. 5.3</w:t>
      </w:r>
    </w:p>
    <w:p>
      <w:r>
        <w:t>Quant à son intérêt privé à pouvoir revenir librement en Suisse, le Tribunal constate que le recourant, hormis la présence de « son amie » de nationalité brésilienne dans le canton de Vaud (cf. mémoire de recours, p. 2 et courrier du 16 mai 2017), ne fait pas état d'autres liens particuliers avec la Suisse.</w:t>
      </w:r>
    </w:p>
    <w:p>
      <w:r>
        <w:rPr>
          <w:b/>
        </w:rPr>
        <w:t>E. 5.4</w:t>
      </w:r>
    </w:p>
    <w:p>
      <w:r>
        <w:t>Tenant compte de l'ensemble des éléments objectifs et subjectifs de la cause, le Tribunal conclut que la mesure d'éloignement prise par l'autorité inférieure le 15 décembre 2016 est nécessaire et adéquate afin de prévenir toute nouvelle atteinte à la sécurité et à l'ordre publics en Suisse. En outre, la durée de trois ans de l'interdiction d'entrée respecte le principe de proportionnalité et correspond à celle prononcée dans des cas analogues. 6.Le SEM a par ailleurs ordonné l'inscription de l'interdiction d'entrée dans le SIS. Ainsi que cela ressort du dossier, A._______ est un ressortissant d'un pays tiers au sens de la législation de l'Union européenne (cf. consid. 3.2 supra). En raison de ce signalement dans le SIS, il lui est interdit de pénétrer dans l'Espace Schengen jusqu'au 14 décembre 2019.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3.2 in fine). 7.Enfin, dans le cas d'espèce, c'est à bon droit que le SEM n'a pas fait application de l'at. 67 al. 5 LEtr. En effet, il ne ressort pas du dossier que des raisons humanitaires ou d'autres motifs importants puissent justifier le renoncement au prononcé d'une mesure d'éloignement, au vu de la nature et de la gravité des infractions commises par le recourant. 8.Il ressort de ce qui précède que, par sa décision du 15 décembre 2016, le SEM n'a ni violé le droit fédéral, ni constaté des faits de manière inexacte ou incomplète ; en outre, cette décision n'est pas inopportune (cf. 49 PA).En conséquence, le recours doit être rejeté.Vu l'issue de la cause, les frais de procédure doivent être mis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