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F-8048/2015 vom 15. März 2017</w:t>
      </w:r>
    </w:p>
    <w:p>
      <w:r>
        <w:t>Bundesverwaltungsgericht, 2017-03-15, DE</w:t>
      </w:r>
    </w:p>
    <w:p>
      <w:r>
        <w:rPr>
          <w:b/>
        </w:rPr>
        <w:t xml:space="preserve">Quelle: </w:t>
      </w:r>
      <w:r>
        <w:t>https://mcp.opencaselaw.ch/entscheid/bvger_F-8048_2015</w:t>
      </w:r>
    </w:p>
    <w:p>
      <w:r>
        <w:t>FR: TAF F-8048/2015 du 15 mars 2017</w:t>
      </w:r>
    </w:p>
    <w:p>
      <w:r>
        <w:t>IT: TAF F-8048/2015 del 15 marzo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Gastgeber der Gesuchstellerin hat sich der Beschwerdeführer insofern am Einspracheverfahren beteiligt, als er zwecks Sachverhaltsfeststellung den ihm vom kantonalen Migrationsamt übersandten Fragebogen beantwortet und dabei schriftliche Garantien zugunsten seines Gastes abgegeben hat. Die Voraussetzung der Teilnahme am vorinstanzlichen Verfahren (vgl. BVGE 2014/1 E. 1.3.2) sowie die weiteren Voraussetzungen der Beschwerdelegitimation gemäss Art. 48 Abs. 1 Bst. a - c VwVG sind damit erfüllt.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Sri Lanka.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Sri Lanka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Im vorliegenden Fall hat die Vorinstanz die fristgerechte und anstandslose Wiederausreise der Gesuchstellenden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Die wirtschaftliche Entwicklung Sri Lankas weist grosse regionale Unterschiede auf. Der ökonomische Aufschwung in den letzten Jahren mit Wachstumsraten zwischen sechs bis acht Prozent ist eng mit dem Ende des Bürgerkriegs im Jahr 2009 verbunden und liegt auch daran, dass in den ehemaligen Bürgerkriegsregionen im Norden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noch weit ist (vgl. zum Ganzen: Bundesministerium für wirtschaftliche Zusammenarbeit und Entwicklung &gt; http://www.bmz.de &gt; Länder &gt; Asien &gt; Sri Lanka (Menschenrechte/Armut/Wirtschaft, abgerufen im März 2017; Deutsches Auswärtiges Amt, http://www.auswaertges-amt.de &gt; Aussen- und Europapolitik &gt; Länderinformationen &gt; Sri Lanka &gt; Innenpolitik [Stand: März 2017]).</w:t>
      </w:r>
    </w:p>
    <w:p>
      <w:r>
        <w:rPr>
          <w:b/>
        </w:rPr>
        <w:t>E. 6.2</w:t>
      </w:r>
    </w:p>
    <w:p>
      <w:r>
        <w:t>Vor diesem Hintergrund besteht bei der tamilischen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Sri Lanka zu den wichtigsten Herkunftsländern gehört - wider. Ihr zufolge befanden sich Ende 2016 1'849 Personen aus Sri Lanka im Asylprozess; 1'373 von ihnen hatten im Verlauf jenes Jahres ein Asylgesuch eingereicht (Quelle: Staatssekretariat für Migration, http://www.sem.admin.ch Aktuell News 2017 Asylstatistik 2016 und Kommentierte Asylstatistik 2016 S. 11).</w:t>
      </w:r>
    </w:p>
    <w:p>
      <w:r>
        <w:rPr>
          <w:b/>
        </w:rPr>
        <w:t>E. 7.1</w:t>
      </w:r>
    </w:p>
    <w:p>
      <w:r>
        <w:t>Allein aufgrund der allgemeinen Lage im Herkunftsland darf zwar nicht auf eine nicht hinreichend gesicherte Wiederausreise geschlossen werden; angesichts der sozio-ökonomischen Verhältnisse und der immer noch angespannten Sicherheitslage in den einstigen Bürgerkriegsgebieten muss den sozialen Bindungen und Verpflichtungen dort lebender Gesuchsteller aber ein erhebliches Gewicht zukommen, damit deren Rückkehr als wahrscheinlich gelten kann.</w:t>
      </w:r>
    </w:p>
    <w:p>
      <w:r>
        <w:rPr>
          <w:b/>
        </w:rPr>
        <w:t>E. 7.2</w:t>
      </w:r>
    </w:p>
    <w:p>
      <w:r>
        <w:t>Die verwitwete Gesuchstellerin wurde 1952 geboren; sie lebt in der Ostprovinz im Distrikt Batticaloa. Es ist nachvollziehbar, dass sie ihre in der Schweiz lebenden Familienangehörigen nach langjähriger Trennung besuchen will, zumal ihre Tochter offenbar nicht mehr ins Heimatland zurückkehren kann. Ihre behauptete gute Vermögens- und Einkommenssituation sowie das zweifellos auch in ihrer Heimat bestehende verwandtschaftliche Umfeld liefern jedoch keine hinreichenden Anhaltspunkte für die angeblich deswegen bestehenden Rückkehrabsichten.</w:t>
      </w:r>
    </w:p>
    <w:p>
      <w:r>
        <w:rPr>
          <w:b/>
        </w:rPr>
        <w:t>E. 7.2.1</w:t>
      </w:r>
    </w:p>
    <w:p>
      <w:r>
        <w:t>Die insoweit vom Beschwerdeführer in Kopie eingereichten Dokumente sollen u.a. belegen, dass die Gesuchstellerin - infolge einer Schenkung ihrer Eltern im Jahr 1972 - Eigentümerin eines Grundstücks ist und dass sie über Ersparnisse von umgerechnet CHF 1'163.- (203'595,35 Sri Lanka Rupien) sowie eine Witwenrente verfügt. Zum Renteneinkommen existieren zwei Bescheinigungen von 20. Juli 2015 und vom 22. August 2015, aus denen - insoweit widersprüchlich - hervorgeht, dass ihre monatliche Witwenrente umgerechnet rund CHF 116.- (17'381.56 Sri Lanka Rupien) bzw. rund CHF 167.- (25'000. - Sri Lanka Rupien) beträgt. Selbst wenn diese Belege hinreichende Beweiskraft hätten, liesse sich aus ihnen nicht ableiten, dass die Gesuchstellerin, wie behauptet (vgl. Sachverhalt B) in Sri Lanka ein "sehr gutes Leben" führen kann. Abgesehen davon ist festzustellen, dass Vermögenswerte in Form von Grundeigentum und Ersparnissen durch eine Emigration nicht verloren gehen. Demzufolge lässt die mit der Beschwerde dargelegte wirtschaftliche Situation nicht darauf schliessen, dass sie der Gesuchstellerin hinreichenden Anreiz für eine Rückkehr nach Sri Lanka bieten würde. Das Gleiche gilt für die dort von ihr angestrengten Gerichtsprozesse.</w:t>
      </w:r>
    </w:p>
    <w:p>
      <w:r>
        <w:rPr>
          <w:b/>
        </w:rPr>
        <w:t>E. 7.2.2</w:t>
      </w:r>
    </w:p>
    <w:p>
      <w:r>
        <w:t>Zugegebenermassen dürfte es der jetzt 64-jährigen Gesuchstellerin nicht leicht fallen, ihre Heimat zu verlassen. Zu bedenken ist jedoch, dass den kantonalen Abklärungen zufolge ihre engsten Verwandten - nämlich ihre Tochter und drei Enkelkinder - in der Schweiz leben und dass auch ihre Schwester mit ihrem Ehemann sowie ein Bruder hier ihr Auskommen gefunden haben. Zudem ist ihre heutige Situation, nach dem Tod ihres Ehemannes, anders als im Jahr 2006, als beide zusammen die Schweiz nach einem Besuchsaufenthalt wieder verliessen. Die mit der Beschwerde eingereichten drei Bescheinigungen, welche ihre Rückkehrabsicht belegen sollen, können nur als Gefälligkeitsschreiben betrachtet werden; die von der Diözese Batticaloa ausgestellte Bescheinigung vom 22. August 2015 erwähnt zudem Umstände, welche nie von der Gesuchstellerin und dem Beschwerdeführer behauptet wurden ("She is leaving her properties, 2 houses and two shops at Kaluwanbikudy ... .").</w:t>
      </w:r>
    </w:p>
    <w:p>
      <w:r>
        <w:rPr>
          <w:b/>
        </w:rPr>
        <w:t>E. 8</w:t>
      </w:r>
    </w:p>
    <w:p>
      <w:r>
        <w:t>Vor dem aufgezeigten Hintergrund durfte die Vorinstanz zu recht annehmen, die Wiederausreise der Gesuchstellerin sei nicht gesichert. Die Vor-aussetzungen für die Erteilung eines sogenannten einheitlichen Visums - gültig für den gesamten Schengen-Raum - sind somit nicht erfüllt. Angesichts der nach wie vor bestehenden Unklarheiten bezüglich der Lebenssituation der Gesuchstellerin erscheint auch die Ausstellung eines Einreisevisums mit räumlich beschränkter Gültigkeit (vgl. E. 4.2) nicht opportun.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