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F-801/2026 vom 5. Februar 2026</w:t>
      </w:r>
    </w:p>
    <w:p>
      <w:r>
        <w:t>Bundesverwaltungsgericht, 2026-02-05, DE</w:t>
      </w:r>
    </w:p>
    <w:p>
      <w:r>
        <w:rPr>
          <w:b/>
        </w:rPr>
        <w:t xml:space="preserve">Quelle: </w:t>
      </w:r>
      <w:r>
        <w:t>https://mcp.opencaselaw.ch/entscheid/bvger_F-801_2026</w:t>
      </w:r>
    </w:p>
    <w:p>
      <w:r>
        <w:t>FR: TAF F-801/2026 du 5 février 2026</w:t>
      </w:r>
    </w:p>
    <w:p>
      <w:r>
        <w:t>IT: TAF F-801/2026 del 5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1 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13 Abs. 1 Dublin-III-VO grundsätzlich Polen für die Behandlung des Asylgesuchs des Beschwerdeführers zuständig ist, dass das polnische Asylsystem rechtsprechungsgemäss keine systemischen Mängel aufweist, aufgrund derer die Zuständigkeit gemäss Art. 3 Abs. 2 Dublin-III-VO auf die Schweiz überginge (siehe statt vieler: Urteil des BVGer F-6870/2025 E. 2.1 vom 9. Oktober 2025), und dass vorliegend keine völkerrechtlichen Vollzugshindernisse ersichtlich sind, welche die Schweiz zu einem Selbsteintritt nach Art. 17 Abs. 1 Dublin-III-VO verpflichten würden. Dabei berücksichtigte sie insbesondere seine Vorbringen bezüglich der an der polnisch-belarussischen Grenze durchgeführten push-backs sowie seine Behauptung, er habe in Polen keine Möglichkeit gehabt, ein Asylgesuch zu stellen (vgl. SEM-Akten 24/2, 21/2, 14/2), und würdigte sie rechtsprechungsgemäss. Darüber hinaus sah die Vorinstanz in rechtsfehlerfreier Ausübung des ihr nach Art. 17 Abs. 1 Dublin-III-VO und Art. 29a Abs. 3 der Asylverordnung 1 vom 11. August 1999 (AsylV 1, SR 142.311) zukommenden Ermessens von einem freiwilligen Selbsteintritt der Schweiz ab. Sie trat demnach zu Recht in Anwendung von Art. 31a Abs. 1 Bst. b AsylG auf das Asylgesuch des Beschwerdeführers nicht ein und ordnete in Anwendung von Art. 44 AsylG seine Wegweisung nach Polen an. Zur näheren Begründung wird auf die Erwägungen der Vorinstanz verwiesen.</w:t>
      </w:r>
    </w:p>
    <w:p>
      <w:r>
        <w:rPr>
          <w:b/>
        </w:rPr>
        <w:t>E. 2.2</w:t>
      </w:r>
    </w:p>
    <w:p>
      <w:r>
        <w:t>Was der Beschwerdeführer auf Rechtsmittelebene vorbringt, vermag an der Richtigkeit der angefochtenen Verfügung nichts zu ändern.</w:t>
      </w:r>
    </w:p>
    <w:p>
      <w:r>
        <w:rPr>
          <w:b/>
        </w:rPr>
        <w:t>E. 2.2.1</w:t>
      </w:r>
    </w:p>
    <w:p>
      <w:r>
        <w:t>Hinsichtlich seiner persönlichen Lage hat der Beschwerdeführer keine Gründe dargelegt, die mit Blick auf einen Selbsteintritt im Sinne von Art. 17 Dublin-III-VO relevant wären. Zudem hat er sich nicht auf den medizinischen Sachverhalt berufen. In diesem Zusammenhang ist auf die behauptete Verletzung der Hand hinzuweisen, die eigenen Erklärungen des Beschwerdeführers zufolge jedoch bereits verheilt sei (vgl. SEM-Akten 14/2, S. 2). Im Rahmen des Dublin-Gesprächs erwähnte er psychische Beschwerden, dass er Albträume habe, aufgrund derer er in der Unterkunft des Bundes Tabletten erhalten müsse (vgl. SEM-Akten 14/2, S. 2).</w:t>
      </w:r>
    </w:p>
    <w:p>
      <w:r>
        <w:rPr>
          <w:b/>
        </w:rPr>
        <w:t>E. 2.2.2</w:t>
      </w:r>
    </w:p>
    <w:p>
      <w:r>
        <w:t>Eine zwangsweise Rückweisung von Personen mit gesundheitlichen Problemen kann nur ausnahmsweise einen Verstoss gegen Art. 3 EMRK darstellen (vgl. dazu Urteil des EGMR Paposhvili gegen Belgien vom 13. Dezember 2016, Grosse Kammer, Nr. 41738/10, §§ 180-193, bestätigt durch Urteil des EGMR Savran gegen Dänemark vom 7. Dezember 2021, Grosse Kammer, Nr. 57467/15, §§ 121 ff.). Da die geltend gemachten Beschwerden jedoch nicht gravierend genug sind, stellt die Überstellung nach Polen keinen Verstoss gegen Art. 3 EMRK dar. Eine weiterführende medizinische und/oder psychologische Behandlung kann auch in Polen durchgeführt werden. Was die allgemeinen Ausführungen zur Situation in Polen betrifft, wurden diese Aspekte im Entscheid der Vorinstanz bereits berücksichtigt. Die Ausführungen auf Beschwerdeebene vermögen nichts an der zutreffenden Einschätzung der Vorinstanz zu ändern.</w:t>
      </w:r>
    </w:p>
    <w:p>
      <w:r>
        <w:rPr>
          <w:b/>
        </w:rPr>
        <w:t>E. 3</w:t>
      </w:r>
    </w:p>
    <w:p>
      <w:r>
        <w:t>Nach dem Gesagten ist die angefochtene Verfügung nicht zu beanstanden, weshalb die Beschwerde abzuweisen ist. Ebenso abzuweisen sind das Begehren auf Rückweisung des Verfahrens an die Vorinstanz sowie der Subeventualantrag auf Einholung einer individuellen Garantie.</w:t>
      </w:r>
    </w:p>
    <w:p>
      <w:r>
        <w:rPr>
          <w:b/>
        </w:rPr>
        <w:t>E. 4</w:t>
      </w:r>
    </w:p>
    <w:p>
      <w:r>
        <w:t>Mit vorliegendem Urteil fällt der am 3. Februar 2026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