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F-800/2019 vom 24. September 2020</w:t>
      </w:r>
    </w:p>
    <w:p>
      <w:r>
        <w:t>Bundesverwaltungsgericht, 2020-09-24, IT</w:t>
      </w:r>
    </w:p>
    <w:p>
      <w:r>
        <w:rPr>
          <w:b/>
        </w:rPr>
        <w:t xml:space="preserve">Quelle: </w:t>
      </w:r>
      <w:r>
        <w:t>https://mcp.opencaselaw.ch/entscheid/bvger_F-800_2019</w:t>
      </w:r>
    </w:p>
    <w:p>
      <w:r>
        <w:t>FR: TAF F-800/2019 du 24 septembre 2020</w:t>
      </w:r>
    </w:p>
    <w:p>
      <w:r>
        <w:t>IT: TAF F-800/2019 del 24 settembre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24 gennaio 2019,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1'200.-, relativo alle presunte spese processuali, nel termine fissato. Ne discende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24 gennaio 2019, con cui la SEM ha pronunciato un divieto d'entrata in Svizzera e nel Liechtenstein di tre anni (24.1.2019 - 23.1.2022) nei confronti del ricorrente, il quale ne chiede l'annullamento.</w:t>
      </w:r>
    </w:p>
    <w:p>
      <w:r>
        <w:rPr>
          <w:b/>
        </w:rPr>
        <w:t>E. 4</w:t>
      </w:r>
    </w:p>
    <w:p>
      <w:r>
        <w:t>L'ALC è applicabile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tre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dei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disciplina l'entrata, la partenza, il soggiorno e il ricongiungimento familiare degli stranieri in Svizzera, promuovendo inoltre la loro integrazione, è stata, con effetto dal 1° gennaio 2019, non soltanto parzialmente modificata, ma anche ridenominata legge federale sugli stranieri e la loro integrazione (LStrI, RS 142.2; cfr. RU 2017 6521). Benché l'art. 67 cpv. 2 lett. a e cpv. 3 della legge, rilevante per la presente procedura poiché regola i divieti d'entrata, non abbia subito alcuna modifica da quando lo stato di fatto che deve essere valutato giuridicamente, si è realizzato (cfr. DTF 130 V 445 consid. 1.2.1), ossia tra l'ottobre 2013 e il dicembre 2015 (cfr. consid. B e C), si utilizzerà in seguito la nuova abbreviazione LStrI.</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sono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In prosieguo importa stabilire, innanzitutto, se le condizioni per emettere un divieto d'entrata in sé fossero adempiute il 24 gennaio 2019 (minaccia almeno di una certa gravità), e, nell'affermativa, precisare l'intensità della gravità della minaccia (minaccia solo di una certa gravità o minaccia grave).</w:t>
      </w:r>
    </w:p>
    <w:p>
      <w:r>
        <w:rPr>
          <w:b/>
        </w:rPr>
        <w:t>E. 8</w:t>
      </w:r>
    </w:p>
    <w:p>
      <w:r>
        <w:t>Nella sua risposta al ricorso, affinando la motivazione della decisione impugnata, la SEM fa riferimento, principalmente, al "dumping salariale" come ad una minaccia concreta ed attuale per l'ordine pubblico, lasciando in secondo piano, a ragion veduta, l'infrazione grave alle regole sulla circolazione stradale, risalente ormai all'agosto 2014, e che, da allora, non ha conosciuto reiterazioni (cfr. consid. B e K).</w:t>
      </w:r>
    </w:p>
    <w:p>
      <w:r>
        <w:rPr>
          <w:b/>
        </w:rPr>
        <w:t>E. 8.1</w:t>
      </w:r>
    </w:p>
    <w:p>
      <w:r>
        <w:t>A proposito del "dumping salariale" si osservi che esso consiste nell'offrire, ripetutamente e abusivamente, salari inferiori a quelli usuali per il luogo, la professione o il ramo (cfr. l'art. 360a cpv. 1 [salari minimi] del Codice delle obbligazioni/CO, RS 220). In questo senso, il "dumping salariale" può manifestarsi come una conseguenza del cosiddetto "lavoro nero", del quale "non esiste a tutt'oggi una definizione giuridica univoca [...]. Per lavoro nero (o lavoro illegale) si intende in generale un'attività dipendente o indipendente esercitata in violazione delle prescrizioni legali; vale a dire in particolare: - l'assunzione clandestina di lavoratori stranieri in violazione delle disposizioni del diritto degli stranieri [...]. Il lavoro nero è all'origine di numerosi problemi: comporta minori entrate per l'amministrazione fiscale e le assicurazioni sociali e provoca distorsioni della concorrenza e della perequazione finanziaria. Rappresenta una minaccia per la protezione dei lavoratori (condizioni di lavoro, dumping salariale). Costituisce un'imposta sull'onestà poiché le entrate fiscali devono essere finanziate da una parte sempre più ridotta della popolazione e quindi coloro che osservano le normative fiscali e sociali pagano per coloro che le infrangono. È un fattore di disorganizzazione che può pregiudicare la credibilità dell'ente pubblico agli occhi dei contribuenti e alimentare la diffidenza generale nei confronti delle istituzioni e del quadro regolamentare dell'economia formale. Di conseguenza, è fonte d'incertezza e perdita di efficacia negli scambi economici e ha un effetto pregiudizievole sulle prestazioni macroeconomiche di un Paese. Si può dunque affermare che il lavoro nero deve essere combattuto per ragioni economiche, giuridiche ed etiche e che rappresenta un reato non trascurabile" (Messaggio del Consiglio federale del 16 gennaio 2002 concernente la legge federale contro il lavoro nero/LLN, in vigore dal 1° gennaio 2008, Foglio federale 2002 3243, pagg. 3246 e 3247).</w:t>
      </w:r>
    </w:p>
    <w:p>
      <w:r>
        <w:rPr>
          <w:b/>
        </w:rPr>
        <w:t>E. 8.2</w:t>
      </w:r>
    </w:p>
    <w:p>
      <w:r>
        <w:t>In concreto, conviene sottolineare, per prima cosa, che non si è in presenza di alcuna violazione del diritto degli stranieri legata al "dumping salariale". Infatti, da un lato, la ditta che il ricorrente presiedeva, aveva la sua sede in Svizzera, a Lugano, per cui i suoi impiegati italiani non erano lavoratori distaccati nell'accezione legale del termine (cfr. artt. 1 e 2 lett. a della legge federale concernente le misure collaterali per i lavoratori distaccati e il controllo dei salari minimi previsti nei contratti normali di lavoro dell'8 ottobre 1999 [legge sui lavoratori distaccati/LDist, RS 823.20). Dall'altro lato, in quanto cittadini italiani, il ricorrente e gli impiegati della ditta derivavano il loro diritto di lavorare in Svizzera direttamente dall'ALC (cfr. consid. 4), senza contare che il ricorrente aveva inoltre richiesto ed ottenuto il permesso "G" UE/AELS, il quale, occorre ricordarlo, non ha comunque carattere costitutivo, ma soltanto dichiarativo (cfr. DTF 136 II 329 consid. 2 e 3). E tutto lascia supporre che gli stessi impiegati si erano procurati un permesso corrispondente al loro statuto in Svizzera (confinanti o soggiornanti). Altrimenti detto, il ricorrente e gli impiegati della ditta non soggiornavano illegalmente in Svizzera quando esercitavano le loro rispettive attività lavorative. Cionondimeno, è incontrovertibile il fatto che la ditta, per il tramite della volontà del ricorrente, il suo presidente, ha versato ai suoi impiegati dei salari inferiori a quelli imposti dal CCL allora vigente in Ticino. Questo comportamento, che è stato peraltro qualificato dalla CAC come "usura per mestiere" (reato contro il patrimonio) ai sensi dell'art. 157 cpv. 2 del Codice penale/CP (RS 311.0; cfr. consid. C), corrisponde senz'altro alla definizione di "dumping salariale" secondo la legislazione sul lavoro svizzera (cfr. consid. 8.1). In questo modo, è dunque a giusta ragione che la SEM ha intravisto, non fosse altro che in sede di risposta al ricorso, nel reato di "usura per mestiere" imputato al ricorrente, una forma di "dumping salariale" costituente un pericolo concreto e ancora attuale, al momento del rilascio del divieto d'entrata, per l'ordine pubblico svizzero (cfr. consid. G e K). D'altra parte, la SEM ha correttamente attribuito al pericolo in questione, in maniera implicita, "una certa gravità", non valutandolo invece come una "minaccia grave", e ciò in applicazione dei criteri precisati dalla giurisprudenza (cfr. consid. 6.4). Di conseguenza, l'emissione di un divieto d'entrata in sé, il 24 gennaio 2019, è avvenuta conformemente ai requisiti di legge (cfr. art. 67 cpv. 2 lett. a LStrI in relazione con l'art. 5 allegato I ALC). Questo implica che la SEM non aveva l'opzione di pronunciare, al posto del divieto d'entrato, un ammonimento (cfr. sentenza TAF F-53/2018 del 4 dicembre 2019 consid. 11 [DTAF 2019 VII/4]).</w:t>
      </w:r>
    </w:p>
    <w:p>
      <w:r>
        <w:rPr>
          <w:b/>
        </w:rPr>
        <w:t>E. 9</w:t>
      </w:r>
    </w:p>
    <w:p>
      <w:r>
        <w:t>Si tratta ora di fissare, in conformità con il principio di proporzionalità, la durata del divieto d'entrata in funzione del complesso delle circostanze del caso, nel quadro del diritto del ricorrente alla libera circolazione garantito dall'ALC, nonché, se del caso, del suo diritto al rispetto della propria vita privata e familiare secondo l'art. 8 par. 1 della Convenzione europea dei diritti dell'uomo/CEDU (RS 0.101).</w:t>
      </w:r>
    </w:p>
    <w:p>
      <w:r>
        <w:rPr>
          <w:b/>
        </w:rPr>
        <w:t>E. 9.1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9.2</w:t>
      </w:r>
    </w:p>
    <w:p>
      <w:r>
        <w:t>In concreto, il ricorrente ha restituito spontaneamente il suo permesso "G" UE/AELS all'UMCT il 18 giugno 2018 (cfr consid. D), manifestando così la sua intenzione di cessare qualsiasi attività lavorativa in Ticino. Inoltre, come risulta dall'incarto, egli non ha relazioni, private e/o familiari, che rientrino nel campo di protezione dell'art. 8 par. 1 CEDU. Stando così le cose, si deve constatare che egli usufruisce e/o ha l'intenzione di usufruire della libertà di circolazione unicamente sotto il profilo del diritto d'ingresso (cfr. consid. 4), e ciò a maggior ragione se si considera che, casomai volesse riprendere l'esercizio di un'attività lucrativa in Ticino, dovrebbe comunque tentare di procacciarsi un nuovo permesso "G" UE/AELS presso l'UMCT, con prospettive di successo presumibilmente non troppo buone, soprattutto a corto o medio termine. In questo senso, non si può ragionevolmente sostenere che il ricorrente rappresenti ancora una minaccia, attuale, per l'ordine pubblico svizzero nell'ottica della lotta contro il "dumping salariale", tantomeno alla luce della relativa lontananza nel tempo dei fatti sanzionati dalla CAC (ottobre 2013 - dicembre 2015). Pertanto, in funzione di questi elementi, la durata di tre anni del divieto d'entrata non appare del tutto convincente sotto il profilo della proporzionalità.</w:t>
      </w:r>
    </w:p>
    <w:p>
      <w:r>
        <w:rPr>
          <w:b/>
        </w:rPr>
        <w:t>E. 9.3</w:t>
      </w:r>
    </w:p>
    <w:p>
      <w:r>
        <w:t>Il ricorrente è stato condannato dalla CAC in procedura abbreviata, secondo gli artt. 358 a 362 del Codice di procedura penale/CPP (RS 312.0), applicabile se l'imputato, prima che sia promossa l'accusa, "ammette i fatti essenziali [...] e riconosce quanto meno nella sostanza le pretese civili" (art. 258 cpv. 1 CPP). Questo significa che la CAC ha riconosciuto "adempiute le condizioni del giudizio con rito abbreviato" (art. 362 cpv. 2 CPP), ossia l'ammissione dei fatti e il riconoscimento delle pretese civili dei lavoratori italiani, privati della differenza salariale tra quanto previsto dal CCL e quanto da loro effettivamente percepito. Allo scopo di soddisfare queste pretese risarcitorie, la CAC ha quindi ordinato il dissequestro dei saldi di tre conti bancari, di cui uno intestato al ricorrente (cfr. consid. C). A questo punto si deve osservare che, secondo la giurisprudenza, un debito derivante da un reato che non sia stato, almeno in parte, estinto dal debitore, deve essere preso in conto nell'analisi della proporzionalità della durata del divieto d'entrata, e ciò, se del caso, a detrimento del debitore (cfr. DTAF 2019 VII/4 consid. 12.2, già citata). Questo implica, a contrario, che il risarcimento del danno può, se del caso, influire positivamente sulla fissazione della durata del divieto d'entrata. Ora, nell'ambito della sua audizione preliminare da parte della SEM e nella sua impugnativa (cfr. consid. F e H), il ricorrente ha sottolineato di avere risarcito integralmente il danno causato alle parti civili, affermazione che la SEM non ha contestato in nessun momento durante la presente procedura. Si deve così constatare che non vi sono elementi all'incarto che permettano di dubitare del fatto che il ricorrente ha effettivamente saldato, in parte personalmente, e in parte mediante le risorse ancora disponibili della ditta che presiedeva, il debito salariale nei confronti dei suoi impiegati italiani (cfr., a conferma di questo, le informazioni fornite dall'OCST: www.ocst.com/lavoro2/edilizia2/1380-emme-suisse-quando-i-nodi-vengono-al-pettine [consultato l'11 agosto 2020]). Pertanto, anche tenendo conto di questa circostanza, la durata di tre anni del divieto d'entrata non appare del tutto convincente sotto il profilo della proporzionalità.</w:t>
      </w:r>
    </w:p>
    <w:p>
      <w:r>
        <w:rPr>
          <w:b/>
        </w:rPr>
        <w:t>E. 9.4</w:t>
      </w:r>
    </w:p>
    <w:p>
      <w:r>
        <w:t>Procedendo ad un'analisi comparativa della giurisprudenza nel campo del "lavoro nero", si può constatare che le diverse fattispecie, in genere, si fondano su un soggiorno illegale in Svizzera, durante il quale le persone interessate, che non sono cittadini di Stati membri dell'Unione europea, esercitano illegalmente un'attività lavorativa, e che i relativi divieti d'entrata variano dai due ai tre anni (cfr., tra le altre, le sentenze TAF F-2282/2017 del 29 agosto 2018 [tre anni], F-2164/2017 del 17 novembre 2017 [due anni] e F-8252/2015 del 28 dicembre 2016 [tre anni]). Ora, anche nel solco di questa giurisprudenza, la durata di tre anni del divieto d'entrata non appare del tutto convincente sotto il profilo della proporzionalità.</w:t>
      </w:r>
    </w:p>
    <w:p>
      <w:r>
        <w:rPr>
          <w:b/>
        </w:rPr>
        <w:t>E. 9.5</w:t>
      </w:r>
    </w:p>
    <w:p>
      <w:r>
        <w:t>In aggiunta a quanto precede, può essere ancora utile puntualizzare che le pratiche di "dumping salariale" si inseriscono in un sistema dove gli attori, tra cui i committenti delle opere e gli imprenditori, concorrono per cercare di ottenere il prezzo più vantaggioso sul mercato, con il rischio di "alimentare il sottocosto" (cfr. Unia: https://ticino.unia.ch/comunicati-e-media, comunicato stampa "Costruire sull'usura" del 25 aprile 2019 [consultato il 10 agosto 2020]). Questa concorrenza è suscettibile, in fin dei conti, di deresponsabilizzare gli uni e gli altri, favorendo un atteggiamento lassista nei confronti delle norme applicabili. In quest'ottica, il "dumping salariale" non è soltanto una violazione della legislazione sul lavoro e un reato individuale, ma diventa pure l'espressione di un comportamento collettivo. Benché questo aspetto non cancelli, evidentemente, la responsabilità personale dell'imprenditore, esso tende a relativizzarne il suo carattere esclusivo, ciò che vale anche per il ricorrente.</w:t>
      </w:r>
    </w:p>
    <w:p>
      <w:r>
        <w:rPr>
          <w:b/>
        </w:rPr>
        <w:t>E. 9.6</w:t>
      </w:r>
    </w:p>
    <w:p>
      <w:r>
        <w:t>Di conseguenza, questo Tribunale considera che un divieto d'entrata valido fino alla data della presente sentenza, anziché di tre anni, si rivela essere più conforme alle esigenze della proporzionalità e, di riflesso, alle condizioni poste dall'ALC per limitare i diritti del ricorrente derivanti dalla libera circolazione delle persone, in particolare il diritto d'ingresso.</w:t>
      </w:r>
    </w:p>
    <w:p>
      <w:r>
        <w:rPr>
          <w:b/>
        </w:rPr>
        <w:t>E. 10</w:t>
      </w:r>
    </w:p>
    <w:p>
      <w:r>
        <w:t>In conclusione, pronunciando un divieto d'entrata di tre anni, la SEM ha violato l'art. 67 cpv. 3 LStrI e il principio di proporzionalità nell'esercizio del suo potere d'apprezzamento (art. 49 lett. a PA). Stando così le cose, in accordo con le considerazioni sopraesposte, il ricorso deve essere parzialmente accolto e la decisione impugnata riformata, nel senso che il divieto d'entrata è valido dal 24 gennaio 2019 fino alla data della presente sentenza.</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è giusto porre a suo carico, a titolo di spese processuali ridotte, fr. 600.- da prelevare sull'anticipo di fr. 1'200.- da lui già versato. Di conseguenza, fr. 600.- saranno restituiti al ricorrente una volta che la presente sentenza sarà cresciuta in giudicato.</w:t>
      </w:r>
    </w:p>
    <w:p>
      <w:r>
        <w:rPr>
          <w:b/>
        </w:rPr>
        <w:t>E. 11.2</w:t>
      </w:r>
    </w:p>
    <w:p>
      <w:r>
        <w:t>Considerato che il ricorso è parzialmente ammesso, il ricorrente, che è rappresentato da un avvocato, ha diritto a un'indennità, ridotta in proporzione, per le spese necessarie derivanti dalla causa (spese ripetibili: art. 64 cpv. 1 PA e art. 7 cpv. 1 e 2 TS-TAF). Dato che il ricorrente non ha presentato alcuna nota d'onorario, l'indennità deve essere fissata sulla base degli atti di causa (art. 14 cpv. 2 TS-TAF). Ora, alla luce dell'ampiezza e del contenuto del ricorso e dei successivi scritti, che rispecchiano, in definitiva, la relativa complessità del litigio, è appropriato attribuire al ricorrente un'indennità ridotta per spese ripetibili di fr. 1'000.- (onorario e spese d'avvocato).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