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F-7998/2024 vom 23. Dezember 2024</w:t>
      </w:r>
    </w:p>
    <w:p>
      <w:r>
        <w:t>Bundesverwaltungsgericht, 2024-12-23, FR</w:t>
      </w:r>
    </w:p>
    <w:p>
      <w:r>
        <w:rPr>
          <w:b/>
        </w:rPr>
        <w:t xml:space="preserve">Quelle: </w:t>
      </w:r>
      <w:r>
        <w:t>https://mcp.opencaselaw.ch/entscheid/bvger_F-7998_2024</w:t>
      </w:r>
    </w:p>
    <w:p>
      <w:r>
        <w:t>FR: TAF F-7998/2024 du 23 décembre 2024</w:t>
      </w:r>
    </w:p>
    <w:p>
      <w:r>
        <w:t>IT: TAF F-7998/2024 del 23 dicembre 2024</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33 let. d LTAF, applicable par renvoi de l'art. 105 LAsi, en relation avec l'art. 83 let. d ch. 1 LTF).</w:t>
      </w:r>
    </w:p>
    <w:p>
      <w:r>
        <w:rPr>
          <w:b/>
        </w:rPr>
        <w:t>E. 1.2</w:t>
      </w:r>
    </w:p>
    <w:p>
      <w:r>
        <w:t>L'intéressé a qualité pour recourir. Présenté dans la forme et le délai prescrits par la loi, le recours est recevable (art. 48 al. 1 et art.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(cf. ATAF 2020 VII/4 consid. 2.1 in fine).</w:t>
      </w:r>
    </w:p>
    <w:p>
      <w:r>
        <w:rPr>
          <w:b/>
        </w:rPr>
        <w:t>E. 2</w:t>
      </w:r>
    </w:p>
    <w:p>
      <w:r>
        <w:t>A titre liminaire, il convient d'examiner les griefs formels soulevés par le recourant. En effet, celui-ci reproche à l'autorité intimée d'avoir manqué à son devoir d'instruction en lien avec son état de santé. Ce manquement aurait conduit à une constatation incomplète des faits pertinents.</w:t>
      </w:r>
    </w:p>
    <w:p>
      <w:r>
        <w:rPr>
          <w:b/>
        </w:rPr>
        <w:t>E. 2.1</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ATF 146 V 240 consid. 8.1;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143 II 425 consid. 5.1 ; ATAF 2012/21 consid. 5.1 ; 2008/24 consid. 7.2).</w:t>
      </w:r>
    </w:p>
    <w:p>
      <w:r>
        <w:rPr>
          <w:b/>
        </w:rPr>
        <w:t>E. 2.2</w:t>
      </w:r>
    </w:p>
    <w:p>
      <w:r>
        <w:t>En l'espèce, le Tribunal constate qu'au moment où elle a statué, l'autorité inférieure disposait de nombreux documents médicaux dont elle a dûment tenu compte. Il apparaissait ainsi que l'état général du recourant s'était dégradé depuis son arrivée en Suisse en août 2024, en particulier sur le plan cognitif, l'intéressé présentant de moments de confusion ou d'incohérence. Cela étant, sur recommandation du Dr B._______, un test MMS a été effectué, lequel permet d'évaluer les capacités cognitives d'un patient présentant des pertes de mémoire. Si ce test ne figure pas au dossier, il apparaît toutefois que le Dr C._______ disposait des résultats lorsqu'il a reçu l'intéressé le 10 décembre 2024 et qu'il a considéré, sur la base desdits résultats et de l'entretien réalisé le même jour, qu'un bilan neuropsychologique ne se justifiait pas. Ces éléments permettaient dès lors d'écarter l'avis du psychiatre de l'intéressé, lequel n'avait, sur le vu du dossier, pas eu accès à ces résultats. Par ailleurs, et quand bien même un bilan neuropsychologique dût être effectué, la jurisprudence restrictive en la matière (cf. consid. 4.1 infra) et les éléments présents au dossier auraient permis au SEM de procéder à une appréciation anticipée des preuves et de statuer en l'état du dossier.</w:t>
      </w:r>
    </w:p>
    <w:p>
      <w:r>
        <w:rPr>
          <w:b/>
        </w:rPr>
        <w:t>E. 2.3</w:t>
      </w:r>
    </w:p>
    <w:p>
      <w:r>
        <w:t>En ce qui concerne le prétendu défaut d'instruction en lien avec les conditions d'accueil et de prise en charge du recourant en Roumanie, le Tribunal considère que les faits pertinents ont été établis de manière suffisante, l'existence d'éventuelles défaillances systémiques ou carences dans le système d'asile et d'accueil roumain relevant du fond.</w:t>
      </w:r>
    </w:p>
    <w:p>
      <w:r>
        <w:rPr>
          <w:b/>
        </w:rPr>
        <w:t>E. 2.4</w:t>
      </w:r>
    </w:p>
    <w:p>
      <w:r>
        <w:t>Par conséquent, les griefs formels du recourant doivent être rejetés.</w:t>
      </w:r>
    </w:p>
    <w:p>
      <w:r>
        <w:rPr>
          <w:b/>
        </w:rPr>
        <w:t>E. 3.1</w:t>
      </w:r>
    </w:p>
    <w:p>
      <w:r>
        <w:t>Saisi d'un recours contre une décision de non-entrée en matière sur une demande d'asile, le Tribunal se limite à examiner le bien-fondé d'une telle décision (cf. ATAF 2017 VI/5 consid. 3.1). Plus précisément, il convient de déterminer si le SEM était fondé à faire application de l'art. 31a al. 1 let. b LAsi, disposition en vertu de laquelle il n'entre pas en matière sur une demande d'asile lorsque la partie requérante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(cf. art. 1 et 29a de l'ordonnance 1 du 11 août 1999 sur l'asile [OA 1, RS 142.311]).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la demande d'asile, le SEM rend une décision de non-entrée en matière après que l'Etat requis a accepté (explicitement ou tacitement) la prise ou la reprise en charge du requérant (cf. art. 29a al. 2 OA 1 [cf. ATAF 2019 VI/7 consid. 6.4.1.3]).</w:t>
      </w:r>
    </w:p>
    <w:p>
      <w:r>
        <w:rPr>
          <w:b/>
        </w:rPr>
        <w:t>E. 3.3</w:t>
      </w:r>
    </w:p>
    <w:p>
      <w:r>
        <w:t>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En particulier, si le demandeur est titulaire d'un titre de séjour périmé depuis moins de deux ans, l'Etat membre qui l'a délivré est responsable de l'examen de la demande de protection internationale, aussi longtemps que le demandeur n'a pas quitté le territoire des Etats membres (cf. art. 12 par. 1 et 4 RD III). L'Etat responsable de l'examen d'une demande de protection internationale en vertu du règlement est tenu de prendre en charge - dans les conditions prévues aux art. 21, 22 et 29 - le demandeur qui a introduit une demande dans un autre Etat membre (art. 18 par. 1 let. a du RD III).</w:t>
      </w:r>
    </w:p>
    <w:p>
      <w:r>
        <w:rPr>
          <w:b/>
        </w:rPr>
        <w:t>E. 3.4</w:t>
      </w:r>
    </w:p>
    <w:p>
      <w:r>
        <w:t>En l'occurrence, il n'est pas contesté que le recourant était au bénéfice d'un titre de séjour roumain, valable jusqu'au 1er novembre 2024, et qu'il n'a pas quitté le territoire des Etats membres depuis son échéance. Par ailleurs, à la suite de la requête soumise par le SEM dans le délai prévu à l'art. 21 par. 1 RD III, les autorités roumaines compétentes ont expressément accepté, dans le délai fixé à l'art. 22 par. 1 RD III, de prendre en charge l'intéressé, sur la base de l'art. 12 par. 1 RD III, le permis de séjour de l'intéressé étant encore valable à ce moment-là.</w:t>
      </w:r>
    </w:p>
    <w:p>
      <w:r>
        <w:rPr>
          <w:b/>
        </w:rPr>
        <w:t>E. 3.5</w:t>
      </w:r>
    </w:p>
    <w:p>
      <w:r>
        <w:t>Cela étant, il y a lieu d'examiner, en vertu de l'art. 3 par. 2 al. 2 RD III, s'il y a de sérieuses raisons de croire qu'il existe en Roumanie des défaillances systémiques dans la procédure d'asile et les conditions d'accueil des demandeurs, qui entraînent un risque de traitement inhumain ou dégradant au sens de l'art. 4 de la Charte des droits fondamentaux de l'Union européenne (Charte UE, JO C 364/1 du 18.12.2000). Dans ce contexte, il convient de rappeler que ce pays est lié à cette Charte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en applique les dispositions.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et directive n° 2013/33/UE du Parlement européen et du Conseil du 26 juin 2013 établissant des normes pour l'accueil des personnes demandant la protection internationale [ci-après : directive Accueil]).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Dans un tel cas, l'Etat requérant doit renoncer au transfert.</w:t>
      </w:r>
    </w:p>
    <w:p>
      <w:r>
        <w:rPr>
          <w:b/>
        </w:rPr>
        <w:t>E. 3.6</w:t>
      </w:r>
    </w:p>
    <w:p>
      <w:r>
        <w:t>En l'espèce, le recourant considère que le Tribunal a récemment décidé, dans son arrêt D-5711/2023 du 8 juillet 2024, que la Roumanie présentait des lacunes susceptibles d'entraîner un risque de traitement inhumain ou dégradant compte tenu d'une surcharge massive de son système d'asile. L'intéressé ne saurait être suivi sur cette question. En effet, il ressort de la jurisprudence du Tribunal que l'arrêt susmentionné traitait d'une configuration très particulière et non d'une généralité, ce que le Tribunal a déjà eu l'occasion de répéter à plusieurs reprises (cf. arrêts du TAF F-5680/2024 du 17 septembre 2024 consid. 4.2 et F-7253/2024 du 27 novembre 2024 consid. 8.2). Au surplus, les situations des intéressés dans le cas de l'arrêt susmentionné et dans la présente procédure ne sauraient être comparées. En effet, et contrairement à l'arrêt dont il se prévaut, le recourant n'a pas fait l'objet d'une décision d'asile négative en Roumanie et ne dispose d'aucune famille en Suisse. Par ailleurs, son état psychique est essentiellement sous contrôle, une médication adaptée lui ayant été prescrite. Compte tenu de ces éléments, il n'y a pas lieu de considérer que la Roumanie présente des défaillances systémiques susceptibles d'imposer à la Suisse de renoncer au transfert de l'intéressé. Partant, l'application de l'art. 3 par. 2 RD III ne se justifie pas en l'espèce.</w:t>
      </w:r>
    </w:p>
    <w:p>
      <w:r>
        <w:rPr>
          <w:b/>
        </w:rPr>
        <w:t>E. 4</w:t>
      </w:r>
    </w:p>
    <w:p>
      <w:r>
        <w:t>Le recourant fait également valoir que son état de santé s'oppose à un transfert vers la Roumanie sous l'angle de l'art. 3 CEDH.</w:t>
      </w:r>
    </w:p>
    <w:p>
      <w:r>
        <w:rPr>
          <w:b/>
        </w:rPr>
        <w:t>E. 4.1</w:t>
      </w:r>
    </w:p>
    <w:p>
      <w:r>
        <w:t>A cet égard, le Tribunal rappelle que le transfert de personnes touchées dans leur santé n'est susceptible de constituer une violation de l'art. 3 CEDH que dans des cas exceptionnels où celui-ci exposerait les personnes en cause à un déclin grave, rapide et irréversible de leur état de santé (cf. arrêt Paposhvili c. Belgique [GC], du 13 décembre 2016, requête n°41738/10, confirmé dans l'arrêt de la Cour EDH Savran c. Danemark [GC], du 7 décembre 2021, req. 57467/15 ; ATAF 2017 VI/7 consid. 6.2 et les réf. cit.).</w:t>
      </w:r>
    </w:p>
    <w:p>
      <w:r>
        <w:rPr>
          <w:b/>
        </w:rPr>
        <w:t>E. 4.2</w:t>
      </w:r>
    </w:p>
    <w:p>
      <w:r>
        <w:t>En l'espèce, le recourant souffre sur le plan psychique d'épisodes dépressifs sévères avec des symptômes psychotiques, d'état de stress post-traumatique complexe et de troubles psychotiques polymorphes d'allure schizophrénique. Sur le plan physique, l'intéressé a affirmé souffrir d'un problème cardiaque et d'insuffisance respiratoire, tout en reconnaissant avoir été traité pour ces afflictions lors de son séjour en Roumanie. En l'occurrence, compte tenu de ce tableau clinique, rien n'incite à penser qu'en cas de transfert, il risquerait d'être exposé à un déclin grave, rapide et irréversible de son état de santé. Il n'est pas atteint d'une maladie d'une gravité ou d'une spécificité telle qu'elle ne pourrait pas être traitée dans cet Etat, qui dispose de structures médicales équivalentes à la Suisse (cf. arrêt du TAF F-3962/2023 du 4 avril 2024 consid. 6.3), étant encore précisé qu'il est actuellement sous traitement. Il incombera cas échéant au recourant, une fois son transfert en Roumanie effectué, de déposer une demande d'asile et de se prévaloir des droits octroyés par les différentes directives auxquelles cet Etat est partie, notamment la Directive Accueil, dont l'art. 19 al. 1 dispose que les États membres font en sorte que les demandeurs reçoivent les soins médicaux nécessaires qui comportent, au minimum, les soins urgents et le traitement essentiel des maladies et des troubles mentaux graves. Il incombera, par ailleurs, au SEM et aux autorités chargées de l'exécution du transfert d'informer les autorités roumaines compétentes de l'état de santé de l'intéressé et du traitement médical suivi, lors de son transfert, conformément aux art. 31 et 32 RD III.</w:t>
      </w:r>
    </w:p>
    <w:p>
      <w:r>
        <w:rPr>
          <w:b/>
        </w:rPr>
        <w:t>E. 4.3</w:t>
      </w:r>
    </w:p>
    <w:p>
      <w:r>
        <w:t>Par conséquent, il y a lieu de retenir que les problèmes de santé, sous contrôle médical, dont le recourant est atteint - et dont le Tribunal ne remet pas en cause l'étendue - ne sauraient faire obstacle à l'exécution de son transfert vers la Roumanie.</w:t>
      </w:r>
    </w:p>
    <w:p>
      <w:r>
        <w:rPr>
          <w:b/>
        </w:rPr>
        <w:t>E. 4.4</w:t>
      </w:r>
    </w:p>
    <w:p>
      <w:r>
        <w:t>Quoi qu'il en soit, si après son retour dans ce pays, l'intéressé devait être contraint par les circonstances à mener une existence non conforme à la dignité humaine, ou si la Roumanie devait violer ses obligations d'assistance, ou de toute autre manière porter atteinte à ses droits fondamentaux, il appartiendrait au requérant, le cas échéant, de faire valoir ses droits directement auprès des autorités compétentes, en usant des voies de droit idoines (cf. art. 26 directive Accueil).</w:t>
      </w:r>
    </w:p>
    <w:p>
      <w:r>
        <w:rPr>
          <w:b/>
        </w:rPr>
        <w:t>E. 5</w:t>
      </w:r>
    </w:p>
    <w:p>
      <w:r>
        <w:t>Enfin,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2022 I/6 consid. 4.3.3.1, 2015/9 consid. 8), nonobstant la préférence marquée par le recourant de voir sa procédure d'asile menée par la Suisse. Contrairement à l'argumentation développée au stade du recours, la motivation du SEM, comprenant une pesée des intérêts, tenant compte en particulier de son état de santé, est fondée en fait et en droit, y compris au regard du principe de la proportionnalité.</w:t>
      </w:r>
    </w:p>
    <w:p>
      <w:r>
        <w:rPr>
          <w:b/>
        </w:rPr>
        <w:t>E. 6.1</w:t>
      </w:r>
    </w:p>
    <w:p>
      <w:r>
        <w:t>Au regard de l'ensemble des éléments qui précèdent, c'est à bon droit que le SEM n'est pas entré en matière sur la demande d'asile de l'intéressé, en application de l'art. 31a al. 1 let. b LAsi, et qu'il a prononcé son transfert vers la Roumanie conformément à l'art. 44 1ère phr. LAsi, étant précisé qu'aucune exception à la règle générale du renvoi n'est réalisée (cf. art. 32 OA 1). Au vu de ce qui précède, le recours doit être rejeté.</w:t>
      </w:r>
    </w:p>
    <w:p>
      <w:r>
        <w:rPr>
          <w:b/>
        </w:rPr>
        <w:t>E. 6.2</w:t>
      </w:r>
    </w:p>
    <w:p>
      <w:r>
        <w:t>S'avérant manifestement infondé, il est rejeté dans une procédure à juge unique, avec l'approbation d'un second juge (art. 111 let. e LAsi). Il est dès lors renoncé à un échange d'écritures, le présent arrêt n'étant motivé que sommairement (art. 111a al. 1 et 2 LAsi). Dans la mesure où il a été immédiatement statué sur le fond, les requêtes formulées dans le recours tendant à l'octroi de l'effet suspensif et à l'exemption du paiement d'une avance de frais sont sans objet. Le litige prenant fin, les mesures superprovisionnelles prononcées le 20 décembre 2024 sont caduques.</w:t>
      </w:r>
    </w:p>
    <w:p>
      <w:r>
        <w:rPr>
          <w:b/>
        </w:rPr>
        <w:t>E. 6.3</w:t>
      </w:r>
    </w:p>
    <w:p>
      <w:r>
        <w:t>Les conclusions du recours étant d'emblée vouées à l'échec, la demande d'assistance judiciaire est rejetée. Au vu de l'issue de la cause, il y aurait lieu de mettre les frais de procédure à la charge du recourant. Au vu de l'ensemble des circonstances de la présente affaire, le Tribunal y renonce à titre exceptionnel (cf. art. 63 al. 1 in fine PA en relation avec l'art. 6 let. b du règlement du 21 février 2008 concernant les frais, dépens et indemnités fixés par le Tribunal administratif fédéral [FITAF, RS 173.320.2]). (dispositif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