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F-7998/2016 vom 17. Juli 2017</w:t>
      </w:r>
    </w:p>
    <w:p>
      <w:r>
        <w:t>Bundesverwaltungsgericht, 2017-07-17, FR</w:t>
      </w:r>
    </w:p>
    <w:p>
      <w:r>
        <w:rPr>
          <w:b/>
        </w:rPr>
        <w:t xml:space="preserve">Quelle: </w:t>
      </w:r>
      <w:r>
        <w:t>https://mcp.opencaselaw.ch/entscheid/bvger_F-7998_2016</w:t>
      </w:r>
    </w:p>
    <w:p>
      <w:r>
        <w:t>FR: TAF F-7998/2016 du 17 juillet 2017</w:t>
      </w:r>
    </w:p>
    <w:p>
      <w:r>
        <w:t>IT: TAF F-7998/2016 del 17 luglio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Présenté dans la forme et les délais prescrits par la loi, le recours est recevable (cf. art. 50 et 52 PA).</w:t>
      </w:r>
    </w:p>
    <w:p>
      <w:r>
        <w:rPr>
          <w:b/>
        </w:rPr>
        <w:t>E. 1.4</w:t>
      </w:r>
    </w:p>
    <w:p>
      <w:r>
        <w:t>Pour tenir compte du fait que A._______ appartient à la communauté transgenre et revendique une identité féminine, la forme féminine sera utilisée dans les considérants du présent arrêt.</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voir également ATF 135 II 1 consid. 1.1 et les ATAF 2014/1 consid. 4.1.1, 2011/48 consid. 4.1 et 2009/27 consid. 3, ainsi que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w:t>
      </w:r>
    </w:p>
    <w:p>
      <w:r>
        <w:rPr>
          <w:b/>
        </w:rPr>
        <w:t>E. 3.3</w:t>
      </w:r>
    </w:p>
    <w:p>
      <w:r>
        <w:t>S'agissant des conditions d'entrée en Suisse pour un séjour n'excédant pas 90 jours, l'art. 2 al. 1 OEV (Ordonnance sur l'entrée et l'octroi de visas),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qui lui-même renvoie au Règlement (UE) 810/2009 du 13 juillet 2009 établissant un code communautaire des visas (Code des visas). Les conditions d'entrée ainsi prévues correspondent, pour l'essentiel, à celles posées par l'art. 5 LEtr.</w:t>
      </w:r>
    </w:p>
    <w:p>
      <w:r>
        <w:rPr>
          <w:b/>
        </w:rPr>
        <w:t>E. 3.4</w:t>
      </w:r>
    </w:p>
    <w:p>
      <w:r>
        <w:t>Selon les termes du Code des visas,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w:t>
      </w:r>
    </w:p>
    <w:p>
      <w:r>
        <w:rPr>
          <w:b/>
        </w:rPr>
        <w:t>E. 4.1</w:t>
      </w:r>
    </w:p>
    <w:p>
      <w:r>
        <w:t>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(cf. art. 2 al. 4 et art. 12 al. 4 OEV, art. 25 par. 1 let. a du Code des visas et art. 6 par. 5 let. c du Code frontières Schengen).</w:t>
      </w:r>
    </w:p>
    <w:p>
      <w:r>
        <w:rPr>
          <w:b/>
        </w:rPr>
        <w:t>E. 4.2</w:t>
      </w:r>
    </w:p>
    <w:p>
      <w:r>
        <w:t>Toutefois, ainsi que l'a retenu la Cour de justice de l'Union européenne dans un arrêt rendu le 7 mars 2017 (cf. arrêt de la Cour de justice de l'Union européenne [CJUE] C-638/16 PPU X et X contre Etat belge), « une demande de visa à validité territoriale limitée, introduite par un ressortissant d'un pays tiers pour raisons humanitaires, sur la base de l'art. 25 du Code des visas, auprès de la représentation de l'Etat membre de destination, située sur le territoire d'un pays tiers, dans l'intention d'introduire, dès son arrivée dans cet Etat membre, une demande de protection internationale et, par suite, de séjourner dans ledit Etat membre plus de 90 jours sur une période de 180 jours, ne relève pas de l'application dudit code, mais en l'état actuel du droit de l'Union, du seul droit national ».</w:t>
      </w:r>
    </w:p>
    <w:p>
      <w:r>
        <w:rPr>
          <w:b/>
        </w:rPr>
        <w:t>E. 4.3</w:t>
      </w:r>
    </w:p>
    <w:p>
      <w:r>
        <w:t>Dans la cause F-7298/2016 du 19 juin 2017, le Tribunal a pris acte de l'arrêt précité de la CJUE. Il a toutefois considéré que cette décision ne remettait pas fondamentalement en question l'analyse effectuée jusqu'alors par la Suisse. En effet, il a rappelé que le législateur avait expressément voulu donner la possibilité aux personnes réellement menacées de pouvoir continuer à bénéficier de la protection de la Suisse, de sorte que, dans de telles circonstances, leur entrée en Suisse pouvait être autorisée par l'octroi d'un visa selon une procédure simple (cf. consid. 4). Aussi, bien que le SEM se soit appuyé sur des dispositions du droit européen non applicables en l'espèce pour refuser l'entrée en Suisse de la recourante, ce fait ne saurait affecter la validité de la décision attaquée. En effet, le droit suisse (savoir la LEtr et l'OEV) contient une base légale suffisante et ad hoc pour examiner si les conditions d'octroi d'un visa national à validité territoriale limitée sont réalisées dans le cas d'espèce.</w:t>
      </w:r>
    </w:p>
    <w:p>
      <w:r>
        <w:rPr>
          <w:b/>
        </w:rPr>
        <w:t>E. 4.4</w:t>
      </w:r>
    </w:p>
    <w:p>
      <w:r>
        <w:t>En conséquence, dans le présent cas, bien que la décision rendue par le SEM est antérieure à l'arrêt de la CJUE du 7 mars 2017, et qu'elle repose en partie sur des normes de droit européen non applicables, ce fait ne saurait cependant en affecter la validité, comme relevé au considérant ci-avant. Aussi, le présent recours peut faire l'objet d'un examen au fond, sans qu'il soit nécessaire d'annuler la décision du SEM.</w:t>
      </w:r>
    </w:p>
    <w:p>
      <w:r>
        <w:rPr>
          <w:b/>
        </w:rPr>
        <w:t>E. 5.1</w:t>
      </w:r>
    </w:p>
    <w:p>
      <w:r>
        <w:t>Dans le cas d'espèce, l'intéressée, de nationalité libanaise, doit obtenir un visa pour entrer en Suisse (cf. art. 4 OEV et le Règlement (CE) no 539/2001 du Conseil du 15 mars 2001 [JO L81 du 21 mars 2001, p. 1-7]). Il n'est pas contesté que les conditions générales pour l'octroi d'un visa Schengen uniforme ne sont pas remplies en l'occurrence et l'intéressée ne le dément d'ailleurs pas. Partant, c'est à bon droit qu'elle n'a pas été mise au bénéfice d'un visa Schengen de type C (cf. art. 14 par. 1 let. b et d et art. 21 par. 1 du code des visas, en relation avec l'art. 5 al. 2 LEtr). Par ailleurs, elle ne peut pas davantage solliciter, en l'état, la délivrance d'un visa humanitaire fondé sur l'art. 25 par. 1 du code des visas, vu que ce genre de visa est prévu pour des personnes ayant l'intention de séjourner brièvement dans le pays d'accueil.</w:t>
      </w:r>
    </w:p>
    <w:p>
      <w:r>
        <w:rPr>
          <w:b/>
        </w:rPr>
        <w:t>E. 6.1</w:t>
      </w:r>
    </w:p>
    <w:p>
      <w:r>
        <w:t>La recourante considère cependant qu'en raison de sa situation personnelle, elle remplit les conditions pour se voir délivrer un visa humanitaire, applicable au seul territoire suisse, lui permettant d'introduire une demande d'asile en Suisse.</w:t>
      </w:r>
    </w:p>
    <w:p>
      <w:r>
        <w:rPr>
          <w:b/>
        </w:rPr>
        <w:t>E. 6.2</w:t>
      </w:r>
    </w:p>
    <w:p>
      <w:r>
        <w:t>Dans un arrêt publié sous ATAF 2015/5, le Tribunal a rappelé qu'un visa pour raisons humanitaires présuppose en règle générale l'existence d'une menace imminente, sérieuse et concrète pour la vie et l'intégrité corporelle, de sorte que les conditions à sa délivrance doivent être interprétées de manière très restrictive (cf. en particulier consid. 4.1.3).</w:t>
      </w:r>
    </w:p>
    <w:p>
      <w:r>
        <w:rPr>
          <w:b/>
        </w:rPr>
        <w:t>E. 6.3</w:t>
      </w:r>
    </w:p>
    <w:p>
      <w:r>
        <w:t>Au vu des pièces du dossier, il appert que A._______ a déposé une requête auprès de la Représentation suisse à Beyrouth, mettant en avant son appartenance à la communauté LGBT et les mauvais traitements auxquelles elle a été exposée de ce fait.</w:t>
      </w:r>
    </w:p>
    <w:p>
      <w:r>
        <w:rPr>
          <w:b/>
        </w:rPr>
        <w:t>E. 6.4</w:t>
      </w:r>
    </w:p>
    <w:p>
      <w:r>
        <w:t>S'agissant plus particulièrement de la situation des personnes appartenant à la communauté LGBT au Liban, le Tribunal relève ce qui suit. Le code pénal libanais punit en son article 534 « les relations sexuelles contre nature » d'une peine d'emprisonnement pour une durée d'un mois à un an, et d'une amende entre 200 000 et un million de livres libanaises. A réitérées reprises, cet article a été appliqué par les tribunaux à l'encontre de personnes appartenant à la communauté LGBT. Toutefois, en janvier 2017, dans un cas où 9 personnes étaient accusées, le juge unique du tribunal pénal de la région du Metn, en banlieue de la capitale Beyrouth, a estimé qu'une homosexualité non abusive constituait un aspect de l'exercice des droits humains fondamentaux, de sorte que tant qu'elle était vécue dans le respect d'autrui, il n'y avait pas lieu de la criminaliser. Il a ainsi écarté l'application de l'art. 534 du code pénal libanais. Si de telles décisions sont encore peu nombreuses (il s'agit de la quatrième fois depuis 2009 qu'un juge se prononce de la sorte), elles démontrent toutefois que la société civile libanaise évolue et s'ouvre à d'autres formes de relations même si elle demeure foncièrement conservatrice. Sous cet angle, il convient également de relever que, pour la première fois dans le monde arabe, une Gay Pride a pu se tenir en mai 2017 au Liban, à Batroun, dans le nord du pays. Cette manifestation a clôturé une série d'événements, de célébrations et de débats, dans les bars et boîtes de nuit de la ville. Si elle constitue une belle avancée, elle montre aussi qu'il y a encore du chemin à faire en matière de droits pour la communauté LGBT. En effet, au lieu d'une parade, les militants de la plateforme Beirut Pride ont dû organiser un déjeuner dans un restaurant. De même, un colloque prônant la diversité sexuelle a dû être annulé suite à la menace de la tenue d'une contre-manifestation par l'association des oulémas (théologiens) musulmans. Le fait, cependant, qu'un tel événement soit mis sur pied démontre lui aussi que la société civile libanaise subit une lente mutation. Enfin, il convient également de rappeler l'existence d'organisations non gouvernementales, telles que Proud Lebanon, la Fondation arabe pour les libertés et l'égalité (AFE) ou encore Helem, lesquelles s'attachent à soutenir les personnes membres de la communauté LGBT dans leur quotidien au Liban, en leur offrant également une aide en cas d'arrestation arbitraire, liée à leur orientation sexuelle.</w:t>
      </w:r>
    </w:p>
    <w:p>
      <w:r>
        <w:rPr>
          <w:b/>
        </w:rPr>
        <w:t>E. 6.5</w:t>
      </w:r>
    </w:p>
    <w:p>
      <w:r>
        <w:t>En ce qui concerne plus particulièrement la recourante, le Tribunal relève, à l'instar du SEM, que sa situation est difficile et que son appartenance à la communauté LGBT l'expose, davantage que d'autres personnes vivant au Liban, à des humiliations. Toutefois, il doit également retenir que la communauté LGBT vivant au Liban n'est pas systématiquement, dans son entier et de ce seul fait, exposée à des exactions conduisant à la reconnaissance de l'existence d'une menace imminente, sérieuse et concrète pour la vie et l'intégrité corporelle et fondant, de la sorte, une prétention à se voir délivrer une autorisation d'entrée en Suisse en vue d'y déposer une demande d'asile. Le fait que A._______ ait pu subir une intervention chirurgicale (implants mammaires) en juillet 2016 participe, de l'avis du Tribunal, à l'évolution esquissée au considérant ci-avant de la société civile au Liban et démontre également que l'intéressée ne se trouve pas dans une situation de menace imminente, sérieuse et concrète pour sa vie et son intégrité corporelle.</w:t>
      </w:r>
    </w:p>
    <w:p>
      <w:r>
        <w:rPr>
          <w:b/>
        </w:rPr>
        <w:t>E. 6.6</w:t>
      </w:r>
    </w:p>
    <w:p>
      <w:r>
        <w:t>En niant l'existence d'une menace imminente, sérieuse et concrète pour la vie et l'intégrité corporelle de la recourante, le Tribunal n'entend pas faire fi des difficultés auxquelles cette dernière est exposée dans son quotidien. Il se doit cependant de respecter la volonté du législateur qui, tout en abrogeant la possibilité de déposer une demande d'asile à l'étranger auprès d'une représentation suisse, n'a pas voulu exclure toute possibilité de venir en Suisse pour y solliciter une protection mais l'a conditionnée à la réalisation de conditions très strictes (cf. consid. 6.2 ci-avant). Outre ce qui précède, le Tribunal relève encore que A._______ ne présente pas un grave problème de santé, qui nécessiterait une prise en charge particulière, indisponible au Liban, et que seule la Suisse serait en mesure de fournir.</w:t>
      </w:r>
    </w:p>
    <w:p>
      <w:r>
        <w:rPr>
          <w:b/>
        </w:rPr>
        <w:t>E. 6.7</w:t>
      </w:r>
    </w:p>
    <w:p>
      <w:r>
        <w:t>En conséquence, c'est également à bon droit que le SEM a considéré que la recourante ne se trouvait pas dans une situation de danger imminent justifiant l'octroi d'un visa humanitaire.</w:t>
      </w:r>
    </w:p>
    <w:p>
      <w:r>
        <w:rPr>
          <w:b/>
        </w:rPr>
        <w:t>E. 7</w:t>
      </w:r>
    </w:p>
    <w:p>
      <w:r>
        <w:t>Il s'ensuit que, par sa décision du 21 novembre 2016, l'autorité intimée n'a ni violé le droit fédéral, ni constaté des faits pertinents de manière inexacte ou incomplète ; en outre, cette décision n'est pas inopportune (art. 49 PA). En conséquence, le recours est rejeté.</w:t>
      </w:r>
    </w:p>
    <w:p>
      <w:r>
        <w:rPr>
          <w:b/>
        </w:rPr>
        <w:t>E. 8</w:t>
      </w:r>
    </w:p>
    <w:p>
      <w:r>
        <w:t>Par décision incidente du 2 juin 2016, le Tribunal a mis la recourante au bénéfice de l'assistance judiciaire totale, l'a dispensée du paiement des frais de procédure et désigné sa mandataire en qualité d'avocat d'office pour la présente procédure de recours. Partant, il n'est pas perçu de frais de procédure. En outre, il convient d'accorder une indemnité à titre d'honoraires à la mandataire de l'intéressée (art. 8 à 12 en relation avec l'art. 14 du règlement du 21 février 2008 concernant les frais, dépens et indemnités fixés par le Tribunal administratif fédéral [FITAF, RS 173.320.2]), la recourante ayant l'obligation de rembourser ce montant si elle revient à meilleure fortune, conformément à l'art. 65 al. 4 PA. Tenant compte de l'ensemble des circonstances du cas, de l'importance de l'affaire, du degré de difficulté de cette dernière et de l'ampleur du travail accompli par la mandataire, le Tribunal estime, au regard des art. 8ss FI-TAF, que le versement d'une indemnité à titre d'honoraires s'élevant à 1'000 francs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