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F-7992/2015 vom 20. März 2017</w:t>
      </w:r>
    </w:p>
    <w:p>
      <w:r>
        <w:t>Bundesverwaltungsgericht, 2017-03-20, FR</w:t>
      </w:r>
    </w:p>
    <w:p>
      <w:r>
        <w:rPr>
          <w:b/>
        </w:rPr>
        <w:t xml:space="preserve">Quelle: </w:t>
      </w:r>
      <w:r>
        <w:t>https://mcp.opencaselaw.ch/entscheid/bvger_F-7992_2015</w:t>
      </w:r>
    </w:p>
    <w:p>
      <w:r>
        <w:t>FR: TAF F-7992/2015 du 20 mars 2017</w:t>
      </w:r>
    </w:p>
    <w:p>
      <w:r>
        <w:t>IT: TAF F-7992/2015 del 20 marzo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autant dans son ancienne teneur (cf. ATF 141 II 169 consid. 4, ainsi que l'arrêt du Tribunal fédéral 2C-369/2015 du 22 novembre 2015 consid. 3.2 relatif à l'application de l'art. 30 LEtr), que dans celle en vigueur depuis le 1er septembre 2015.</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2015, ad art. 42 ch. 9).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4.3</w:t>
      </w:r>
    </w:p>
    <w:p>
      <w:r>
        <w:t>En l'espèce, A._______ a obtenu une autorisation de séjour par regroupement familial à la suite de son mariage du 7 juillet 2007 avec B._______. Si les époux ont formellement partagé le domicile conjugal jusqu'au 30 septembre 2013, leur communauté conjugale a été altérée dans le courant de l'année 2010 déjà, lors de l'installation à leur domicile de C._______. Cette communauté conjugale a ensuite pris fin au plus tard durant la première moitié de l'année 2011, lorsque C._______ a entamé une relation amoureuse avec B._______, relation ponctuée par la naissance de leur fils D._______ le 11 mai 2012. Compte tenu du fait que la séparation des époux A._______-B._______ doit être considérée comme définitive et que leur vie commune a manifestement duré moins de cinq ans, la recourante ne peut pas se prévaloir des dispositions de l'art. 42 al. 1 et 3 LEtr. 5.En conséquence, il convient d'examiner si A._______ peut se prévaloir d'un droit au renouvellement de son autorisation de séjour en vertu de l'art. 50 LEtr. 5.1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5.2 En l'occurrence, la recourante a contesté l'appréciation du SEM, selon laquelle il y avait lieu d'émettre de sérieux doutes sur le fait qu'elle avait vécu plus de trois ans en communauté conjugale stable et effective avec son époux B._______. L'examen des diverses déclarations recueillies durant la procédure cantonale au sujet de la communauté conjugale des époux A._______-B._______ amène le Tribunal à constater que les intéressés ont certes résidé dans le même appartement jusqu'au 30 septembre 2013, mais que leur vie conjugale avait pris fin bien avant cette date, ce qui n'est d'ailleurs nullement contesté. S'il n'est guère possible d'établir avec précision la période durant laquelle les époux A._______-B._______ ont formé une véritable union conjugale, il ressort néanmoins des déclarations de B._______ à la Police du Chablais vaudois qu'il avait accueilli C._______ au domicile du couple « en 2010 » et qu'il s'était « mis en couple » avec elle « quelque temps plus tard » ...« en 2011 ». Dans ses déclarations à la Police du Chablais vaudois, C._______ a, quant à elle, indiqué qu'elle avait entamé une relation intime avec B._______ « plus de six mois après que j'ai emménagé chez le couple », ce qui signifie que les époux A._______-B._______ ont vraisemblablement encore formé une communauté conjugale durant la majeure partie de l'année 2010. Aussi, bien qu'un certain doute subsiste sur la persistance d'une relation conjugale étroite et effective des époux A._______-B._______ à partir de l'arrivée de C._______ à leur domicile conjugal, le Tribunal retiendra qu'il est néanmoins crédible que l'union des époux A._______-B._______ ait perduré au-delà du 7 juillet 2010 et qu'elle ait donc duré plus de trois ans, comme la recourante le soutient. Le Tribunal examinera dès lors si l'intégration de A._______ est réussie au sens de l'art. 50 al. 1 let. a LEtr.</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6.5</w:t>
      </w:r>
    </w:p>
    <w:p>
      <w:r>
        <w:t>En l'occurrence, le Tribunal doit constater que, malgré la durée de son séjour en Suisse, la recourante n'a pas été en mesure de s'y créer une situation professionnelle stable lui permettant de se prendre financièrement en charge. Si l'activité de masseuse que A._______ exerce dans ce pays lui a certes procuré des revenus d'une certaine régularité depuis qu'elle s'est séparée de son mari, il n'en demeure que ses revenus n'ont de loin pas été suffisants à lui assurer son indépendance financière, au vu du montant considérable des poursuites et des actes de défaut de biens qu'elle a accumulés depuis lors. Comme déjà exposé au consid. 6.3 ci-avant, il est de jurisprudence constante que pour apprécier les facultés d'intégration au regard de l'art. 50 al. 1 let. a LEtr, l'essentiel en la matière est que l'étranger subvienne à ses besoins, n'émarge pas à l'aide sociale et ne s'endette pas (arrêts du Tribunal fédéral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(cf. les arrêts 2C_385/2014 du 19 janvier 2015 consid. 4.3 et 2C_749/2011 du 20 janvier 2012 consid. 4.4). En l'espèce, selon l'extrait du registre des poursuites établi le 15 août 2013 par l'Office des poursuites (pièce figurant au dossier cantonal de la cause), le montant total des poursuites de A._______ s'élevait alors à 1'895.55 francs et le montant total des actes de défaut de biens à 31'841.50 francs. Or, il ressort de l'extrait du registre des poursuites établi le 25 novembre 2016 par l'Office des poursuites que le montant total des poursuites de la recourante s'élevait à cette date à 36'985.55 francs et que le montant total des actes de défaut de biens culminait à 39'333.75 francs. Il ressort de ce qui précède que la situation financière de la recourante ne s'est guère améliorée depuis qu'elle n'est plus soutenue par son époux, mais que cette situation s'est au contraire péjorée. De plus, les explications que celle-ci a fournies à ce sujet dans ses déterminations du 13 janvier 2017, puis dans son courrier du 2 février 2017, ne sont pas de nature à remettre en cause son incapacité durable à assurer son indépendance financière en Suisse. Le Tribunal relèvera au surplus que, nonobstant son bon comportement général dans ce pays, A._______ n'a pas établi s'y être créé des attaches socio-culturelles particulières. Il apparaît en outre qu'elle s'est rendue à maintes reprises dans son pays, parfois pour des périodes prolongées, ce qui tend à relativiser son argumentation fondée sur la prétendue étroitesse de ses attaches avec la Suisse. Le Tribunal constate enfin que la recourante s'est manifestée par un manque flagrant de collaboration avec les autorités dans le cadre de la procédure de renouvellement de son autorisation de séjour, en négligeant à plusieurs reprises de donner suite à une convocation du Contrôle des habitants de Bex, comportement qui témoigne d'un manque de respect pour les institutions et les règles en vigueur en Suisse.</w:t>
      </w:r>
    </w:p>
    <w:p>
      <w:r>
        <w:rPr>
          <w:b/>
        </w:rPr>
        <w:t>E. 6.6</w:t>
      </w:r>
    </w:p>
    <w:p>
      <w:r>
        <w:t>En conséquence, au terme d'une appréciation globale de toutes les circonstances de la présente cause, le Tribunal arrive à la conclusion que c'est à bon droit que le SEM a considéré que l'intégration de A._______ ne pouvait pas être considérée comme réussie au sens de l'art. 50 al. 1 let. a LEtr.</w:t>
      </w:r>
    </w:p>
    <w:p>
      <w:r>
        <w:rPr>
          <w:b/>
        </w:rPr>
        <w:t>E. 7.1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7.2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En l'espèce, il est constant que la communauté conjugale n'a pas été dissoute par le décès du conjoint et que la recourante n'a pas été victime de violences conjugales. De plus, aucun élément ne permet de penser que l'intéressée se soit mariée avec B._______ contre sa volonté.</w:t>
      </w:r>
    </w:p>
    <w:p>
      <w:r>
        <w:rPr>
          <w:b/>
        </w:rPr>
        <w:t>E. 7.4</w:t>
      </w:r>
    </w:p>
    <w:p>
      <w:r>
        <w:t>S'agissant des possibilités de réintégration de la recourante dans son pays d'origine, il convient de relever que celle-ci y a vécu jusqu'à l'âge de 32 ans, qu'elle y a passé l'essentiel de son existence et y a vécu les années déterminantes pour son développement personnel. Il est dès lors patent que son pays d'origine ne lui est pas devenu à ce point étranger qu'elle ne serait plus en mesure, après une période de réadaptation, d'y retrouver ses repères, ce d'autant moins qu'elle y retournée à maintes reprises ses dernières années. Le Tribunal ne saurait ainsi admettre, malgré la durée du séjour de la recourante en Suisse, que sa réintégration au Brésil, où elle a encore de la famille - notamment sa fille, âgée de 17 ans - puisse être tenue pour fortement compromise. 8.Il y a encore lieu d'examiner si la poursuite du séjour en Suisse de A._______ s'impose pour l'un des autres motifs mentionnés à l'art. 31 al. 1 OASA. En l'espèce, compte tenu de son âge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 En considération de ce qui précède, la poursuite du séjour de la recourante en Suisse ne se justifie, ni au regard de l'art. 50 al. 1 let. a, ni au regard de l'art. 50 al. 1 let. b LEtr. Ainsi, son droit à l'octroi d'une autorisation ou à la prolongation de sa durée de validité n'existe plus. Il convient de relever enfin qu'il n'y a pas lieu d'examiner la situation de A._______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voir aussi dans ce sens, ATF 137 II 345 consid. 3.2.1; arrêt du TF 2C_1062/2013 du 28 mars 2014 consid. 3.2.1). 9.Dans la mesure où A._______ n'obtient pas la prolongation de son autorisation de séjour, c'est à bon droit que l'autorité intimée a prononcé son renvoi de Suisse, conformément à l'art. 64 al. 1 let. c LEtr. L'intéressée n'a par ailleurs pas démontré l'existence d'obstacles à son retour au Brésil et le dossier ne fait pas apparaître que l'exécution du renvoi serait illicite, inexigible ou impossible au sens de l'art. 83 al. 2 à 4 LEtr, ce que la recourante ne prétend d'ailleurs pas. Ainsi, c'est à juste titre que l'instance inférieure a ordonné l'exécution de cette mesure. 10.Le Tribunal relève enfin, s'agissant de la requête de la recourante tendant à son audition, ainsi qu'à celle de personnes de son entourage en qualité de témoins, que l'état de fait pertinent lui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jurisprudence citée ; arrêts du Tribunal administratif fédéral C-8189/2010 du 6 novembre 2012 consid. 8.2 et références citées et C-1721/2011 du 28 mars 2012 consid. 7 et jurisprudence citée). 11.Il ressort de ce qui précède que, par sa décision du 5 novembre 2015,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