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F-7987/2025 vom 31. Oktober 2025</w:t>
      </w:r>
    </w:p>
    <w:p>
      <w:r>
        <w:t>Bundesverwaltungsgericht, 2025-10-31, DE</w:t>
      </w:r>
    </w:p>
    <w:p>
      <w:r>
        <w:rPr>
          <w:b/>
        </w:rPr>
        <w:t xml:space="preserve">Quelle: </w:t>
      </w:r>
      <w:r>
        <w:t>https://mcp.opencaselaw.ch/entscheid/bvger_F-7987_2025</w:t>
      </w:r>
    </w:p>
    <w:p>
      <w:r>
        <w:t>FR: TAF F-7987/2025 du 31 octobre 2025</w:t>
      </w:r>
    </w:p>
    <w:p>
      <w:r>
        <w:t>IT: TAF F-7987/2025 del 31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Schwachstellen aufweist, aufgrund derer die Zuständigkeit gemäss Art. 3 Abs. 2 Dublin-III-VO auf die Schweiz überginge (vgl. jüngst statt vieler Urteile des BVGer F-7882/2025 vom 22. Oktober 2025 E. 2.2 und F-7531/2025 vom 9. Oktober 2025 E. 2), und dass vorliegend keine völkerrechtlichen Vollzugshindernisse ersichtlich sind, welche die Schweiz zu einem Selbsteintritt nach Art. 17 Abs. 1 Dublin-III-VO verpflichten würden. Dabei hat sie zu Recht festgestellt, dass er aus der Beziehung zu seiner Freundin in der Schweiz nichts zu seinen Gunsten ableiten kann.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(Mehrfachgesuch i.S.v. Art. 111c Abs. 1 AsylG)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nichts an der Richtigkeit der angefochtenen Verfügung zu ändern. Betreffend seine geltend gemachte Angst vor einer Rückschiebung durch die deutschen Behörden nach Äthiopien ist darauf hinzuweisen, dass sich Weiterungen zur Einhaltung des Non-Refoulement-Gebots durch die deutschen Behörden vor dem Hintergrund, dass das deutsche Asylsystem rechtsprechungsgemäss keine systemischen Schwachstellen aufweist (vgl. E. 2.1 hiervor), erübrigen (einlässlich dazu Urteil des EuGH vom 30. November 2023, verbundene Rechtssachen C-228/21, C-254/21, C-297/21, C-315/21 und C-328/21, §§ 129-142 und Ziff. 2 des Dispositivs). Gemäss Arztbericht (...) vom 4. Juni 2025 leidet der Beschwerdeführer an einer leichten depressiven Episode und einer Anpassungsstörung, an Antriebslosigkeit sowie an Schlafproblemen. Letztere wurden mit dem Medikament Trittico erfolgreich behandelt. Zudem leidet der Beschwerdeführer gemäss dem medizinischen Datenblatt (...) an Rückenschmerzen, weshalb Physiotherapie verordnet wurde, und an Magenschmerzen, welche mit dem Medikament Pantoprazol behandelt wurden. Einem Arztbericht vom 7. April 2023 ist zudem zu entnehmen, dass beim Beschwerdeführer damals ein Verdacht auf Gastroenteritis bestand. Die geltend gemachten gesundheitlichen Beeinträchtigungen sind nicht derart schwerwiegend, dass aus humanitären Gründen oder gar wegen einer drohenden Verletzung von Art. 3 EMRK von einer Überstellung nach Deutschland abgesehen werden müsste (vgl. dazu auch BVGE 2011/9 E. 7.1 m.w.H. und Urteil des EGMR Paposhvili gegen Belgien vom 13. Dezember 2016, Grosse Kammer, 41738/10, §§ 180-193; letzteres bestätigt durch Urteil des EGMR Savran gegen Dänemark vom 7. Dezember 2021, Grosse Kammer, 57467/15, §§ 121 ff.). Im Übrigen verfügt Deutschland zweifelsfrei über eine ausreichende medizinische Infrastruktur zur Versorgung der geltend gemachten Leiden (statt vieler: Urteil der BVGer F-6009/2025 vom 25. August 2025 E. 2.2.). Wenn der Beschwerdeführer sodann ohne weitere Substantiierung vorbringt, er lebe in einer festen Beziehung mit seiner Schweizer Freundin, die ihn täglich unterstütze und mit der er gemeinsam in der Schweiz eine Zukunft aufbauen wolle, vermag er damit nicht rechtsgenügend darzutun, dass die behauptete nicht-eheliche Beziehung als dauerhaft im Sinne von Art. 2 Bst. g Dublin-III-VO beziehungsweise eheähnlich im Sinne der Rechtsprechung zu Art. 8 EMRK zu qualifizieren wäre.</w:t>
      </w:r>
    </w:p>
    <w:p>
      <w:r>
        <w:rPr>
          <w:b/>
        </w:rPr>
        <w:t>E. 3</w:t>
      </w:r>
    </w:p>
    <w:p>
      <w:r>
        <w:t>Nach dem Gesagten ist die angefochtene Verfügung nicht zu beanstanden (Art. 106 AsylG) und die Beschwerde ist abzuweisen. Mit dem vorliegenden Urteil fällt der am 20. Oktober 2025 angeordnete Vollzugsstopp dahin. Das Gesuch um Gewährung der aufschiebenden Wirkung der Beschwerde ist mit heutigem Entscheid gegenstandslos geworden.</w:t>
      </w:r>
    </w:p>
    <w:p>
      <w:r>
        <w:rPr>
          <w:b/>
        </w:rPr>
        <w:t>E. 4</w:t>
      </w:r>
    </w:p>
    <w:p>
      <w:r>
        <w:t>Die Begehren erweisen sich als aussichtslos, weshalb das Gesuch um unentgeltliche Prozessführung (Art. 65 Abs. 1 VwVG) abzuweisen ist.</w:t>
      </w:r>
    </w:p>
    <w:p>
      <w:r>
        <w:rPr>
          <w:b/>
        </w:rPr>
        <w:t>E. 5</w:t>
      </w:r>
    </w:p>
    <w:p>
      <w:r>
        <w:t>Bei diesem Ausgang des Verfahrens sind die Kosten dem unterliegenden Beschwerdeführer aufzuerlegen (Art. 63 Abs. 1 VwVG) und auf insgesamt Fr. 1'500.-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