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F-797/2022 vom 22. September 2022</w:t>
      </w:r>
    </w:p>
    <w:p>
      <w:r>
        <w:t>Bundesverwaltungsgericht, 2022-09-22, FR</w:t>
      </w:r>
    </w:p>
    <w:p>
      <w:r>
        <w:rPr>
          <w:b/>
        </w:rPr>
        <w:t xml:space="preserve">Quelle: </w:t>
      </w:r>
      <w:r>
        <w:t>https://mcp.opencaselaw.ch/entscheid/bvger_F-797_2022</w:t>
      </w:r>
    </w:p>
    <w:p>
      <w:r>
        <w:t>FR: TAF F-797/2022 du 22 septembre 2022</w:t>
      </w:r>
    </w:p>
    <w:p>
      <w:r>
        <w:t>IT: TAF F-797/2022 del 22 settembre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présenté dans la forme et les délais prescrits par la loi, est recevable(art.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135 I 91 consid. 2.1 et ATAF 2014/24 consid. 2.2). Dans son arrêt, le Tribunal prend en considération l'état de fait existant au moment où il statue (ATAF 2014/1 consid. 2).</w:t>
      </w:r>
    </w:p>
    <w:p>
      <w:r>
        <w:rPr>
          <w:b/>
        </w:rPr>
        <w:t>E. 3.1</w:t>
      </w:r>
    </w:p>
    <w:p>
      <w:r>
        <w:t>Le 1er janvier 2018, est entrée en vigueur la loi du 20 juin 2014 sur la nationalité suisse (LN, RS 141.0). Celle-ci a entraîné, conformément à son art. 49 en relation avec le ch. I de son annexe, l'abrogation de la loi sur la nationalité du 29 septembre 1952 (aLN, RO 1952 1115). Le même jour, l'ordonnance du 17 juin 2016 sur la nationalité suisse (ordonnance sur la nationalité, OLN, RS 141.01) est également entrée en vigueur. Elle a pour objet de fixer les conditions d'octroi de l'autorisation fédérale de naturalisation, ainsi que celles de la naturalisation facilitée et de la réintégration par la Confédération, de réglementer les procédures qui relèvent de la compétence de la Confédération et de régir les émoluments perçus pour les décisions du SEM (art. 1 OLN). En vertu de la disposition transitoire de l'art. 50 al. 1 LN, qui consacre le principe de la non-rétroactivité,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Dans un arrêt récent rendu à cinq juges, le Tribunal fédéral a eu l'occasion de préciser que, s'agissant de l'art. 50 al. 1 LN, il y a lieu de considérer que le droit matériel applicable est celui en vigueur au moment de la signature de la déclaration de la vie commune, voire de l'octroi de la naturalisation (arrêt du TF 1C_574/2021 du 27 avril 2022 consid. 2, en particulier, 2.4). Le nouveau droit est toutefois immédiatement applicable en ce qui concerne les règles de forme et de procédure (ibidem). En l'occurrence, tant la naturalisation que la déclaration de vie commune qui l'a précédée sont postérieurs au 1er janvier 2018, de sorte qu'il y a lieu d'appliquer la LN à la présente affaire, ce que le SEM a du reste fait.</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4.3</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5.3</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confirmé par arrêt du TF 1C_449/2019 du 8 juin 2020 ;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6.1</w:t>
      </w:r>
    </w:p>
    <w:p>
      <w:r>
        <w:t>A titre liminaire, le Tribunal relève que les délais de prescription (relative et absolue) de l'art. 36 al. 2 LN sont respectés, ce qui n'est d'ailleurs pas contesté par la recourante. En effet, la naturalisation facilitée accordée au recourant par décision du 22 mars 2018, entrée en force le 7 mai 2018, a été annulée par l'autorité inférieure le 20 janvier 2022.</w:t>
      </w:r>
    </w:p>
    <w:p>
      <w:r>
        <w:rPr>
          <w:b/>
        </w:rPr>
        <w:t>E. 6.2</w:t>
      </w:r>
    </w:p>
    <w:p>
      <w:r>
        <w:t>L'autorité inférieure a eu connaissance des faits déterminants pour engager une procédure d'annulation de la naturalisation facilitée le 5 janvier 2021, à savoir lors de la réception du courriel du SPOP. Le recourant a été averti de l'ouverture de la procédure d'annulation de sa naturalisation facilitée par courrier du 2 mars 2021, auquel il a donné suite par courrier du 1er avril 2021.</w:t>
      </w:r>
    </w:p>
    <w:p>
      <w:r>
        <w:rPr>
          <w:b/>
        </w:rPr>
        <w:t>E. 6.3</w:t>
      </w:r>
    </w:p>
    <w:p>
      <w:r>
        <w:t>Il convient, partant,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6.4</w:t>
      </w:r>
    </w:p>
    <w:p>
      <w:r>
        <w:t>A ce sujet, on précisera que, pour déterminer si la naturalisation facilitée a été obtenue frauduleusement, il convient de se référer à la stabilité de l'union conjugale au moment de la décision de naturalisation facilitée (cf. arrêt du TF 1C_54/2013 du 3 avril 2013 consid. 2.1 et réf. cit). Le simple fait que les conjoints avaient des sentiments réciproques tout à fait sincères lors de la conclusion du mariage et que cet état a perduré pendant plusieurs années par la suite ne permet pas de faire obstacle à l'annulation de la naturalisation facilitée. Ainsi, dans la présente affaire, seule l'existence d'une union conjugale stable et orientée vers l'avenir en mai 2018 est déterminante.</w:t>
      </w:r>
    </w:p>
    <w:p>
      <w:r>
        <w:rPr>
          <w:b/>
        </w:rPr>
        <w:t>E. 6.5</w:t>
      </w:r>
    </w:p>
    <w:p>
      <w:r>
        <w:t>Dans le cas particulier, le recourant est arrivé en Suisse sans autorisation de séjour, puis a obtenu du SPOP, les 19 juillet 2012 et 14 mars 2013, une autorisation de séjour afin d'effectuer les démarches nécessaires à la conclusion du mariage. Ledit mariage a été célébré le (...) 2013 avec une ressortissante suisse. Le 7 décembre 2016, l'intéressé a introduit une requête de naturalisation facilitée. Par décision du 22 mars 2018, entrée en force 7 mai 2018, il a obtenu la nationalité helvétique, après avoir contresigné, le 27 février 2018, une déclaration de vie commune confirmant la stabilité du mariage (cf. dossier K, pièce 1). Le couple a annoncé vivre séparé à sa commune de résidence le 31 mars 2020 (cf. dossier K, pièce 4). Toutefois, la nature définitivement irrémédiable de leur différend a été constatée au milieu de l'année 2019 par la future ex-épouse (cf. dossier K, pièce 16, question 20). Une requête commune de divorce avec accord complet a été déposée le 20 août 2020. Il ressort du jugement de divorce du 2 novembre 2020 que le couple a convenu être séparé depuis le 1er mars 2020 (cf. dossier K, pièce 10, annexes 1 et 2). Le divorce a été prononcé le 2 novembre 2020 (cf. dossier K, pièce 10, annexe 2). Le Tribunal considère que le court laps de temps entre la décision de naturalisation (7 mai 2018) et la séparation du couple (1er mars 2020), soit moins de 22 mois, suffit à fonder la présomption de fait selon laquelle, au moment de la décision de naturalisation, la communauté conjugale des époux n'était plus stable et orientée vers l'avenir (cf., pour comparaison, arrêt du TAF F-5583/2015 du 2 novembre 2017 consid. 7.3, voir aussi arrêt du TF 1C_574/2021 du 27 avril 2022 consid. 3.3).</w:t>
      </w:r>
    </w:p>
    <w:p>
      <w:r>
        <w:rPr>
          <w:b/>
        </w:rPr>
        <w:t>E. 7</w:t>
      </w:r>
    </w:p>
    <w:p>
      <w:r>
        <w:t>Cette présomption est en outre sensiblement renforcée par d'autres éléments du dossier.</w:t>
      </w:r>
    </w:p>
    <w:p>
      <w:r>
        <w:rPr>
          <w:b/>
        </w:rPr>
        <w:t>E. 7.1</w:t>
      </w:r>
    </w:p>
    <w:p>
      <w:r>
        <w:t>Le dossier de la cause révèle de sérieuses difficultés rencontrées par le couple, qui ont eu un impact à ce point destructeur qu'elles ont amené à sa rupture définitive. Du constat du Tribunal, celles-ci sont apparues et se sont développées dès le début de leur vie commune et étaient donc présentes avant la signature du formulaire « Déclaration concernant la communauté conjugale » et l'octroi de la naturalisation facilitée au recourant, ce qui incite à penser que l'union conjugale n'était ni stable, ni tournée vers l'avenir à ce moment déjà.</w:t>
      </w:r>
    </w:p>
    <w:p>
      <w:r>
        <w:rPr>
          <w:b/>
        </w:rPr>
        <w:t>E. 7.1.1</w:t>
      </w:r>
    </w:p>
    <w:p>
      <w:r>
        <w:t>Les époux se sont rencontrés en décembre 2009 en France au cours d'une soirée entre amis (cf. dossier K, pièce 10, page 34 ; pièce 16, questions 2 et 3). La question de la descendance commune a été abordée à partir de novembre 2010, soit au moment de la demande en mariage(cf. dossier K, pièces 10 et 16, question 19). Ledit mariage a été décidé communément par les deux futurs ex-époux dans le but de fonder une famille et s'est déroulé le 26 juillet 2013 (cf. dossier K, pièce 10, page 75 ; pièce 16, questions 5 et 6). Toutefois, la future ex-épouse du recourant avait déjà fait une fausse couche en janvier 2011 (cf. dossier K, pièce 19). Aucune démarche médicale, ni adoptive n'a été entreprise suite à cet évènement (cf. dossier K, pièce 23).</w:t>
      </w:r>
    </w:p>
    <w:p>
      <w:r>
        <w:rPr>
          <w:b/>
        </w:rPr>
        <w:t>E. 7.1.2</w:t>
      </w:r>
    </w:p>
    <w:p>
      <w:r>
        <w:t>Au moment de l'entrée en force de sa naturalisation facilitée, soit le 7 mai 2018, le couple était « très au clair » sur le fait qu'il ne pouvait plus avoir d'enfant. Sa future ex-épouse a déclaré désirer « rendre sa liberté » à son futur ex-époux qui voulait des enfants alors qu'elle ne pouvait plus en avoir ; ce qu'il a refusé. Ces dires ne sont d'ailleurs pas contestés par le recourant (cf. dossier K, act. 1 TAF, page 3 ; act. 8 TAF, page 4 ; act. 14 TAF, page 2). Il a également fait coïncider la clôture de la procédure de regroupement familial avec son enfant resté en Côte d'Ivoire avec l'avènement réitéré de la question de la descendance commune(cf. dossier K, pièce 23 ; act. 1 TAF). Toutefois, à cette date, ce dernier a refusé de mettre fin à la relation et le couple affirmait être encore été très amoureux malgré l'absence de descendance (cf. dossier K, pièce 16, question 34). Au milieu de l'année 2019, le désaccord survenu au sein du couple aurait cependant concerné une descendance commune (cf. dossier K, pièce 10, annexe 1 ; dossier K, pièce 16, questions 20 et 21). L'ex-épouse a postérieurement rectifié qu'il ne s'agissait pas d'un désaccord à proprement parler mais simplement d'un problème naturel en raison de son âge de 52 ans qui engendrait « malheureusement » l'impossibilité d'avoir des enfants et que cela était la cause de leur séparation (cf. dossier K, pièce 10, annexe 1 ; pièce 16, question 23). Elle a ajouté « [n]on, il n'y avait rien d'autre qui a conduit à notre séparation » (cf. dossier K, pièce 16, questions 22 et 23 ; pièce 21). Sa future ex-épouse n'a consulté aucun médecin, étant au clair sur l'impossibilité de procréer et n'a pas recouru à une aide extérieure faute d'en ressentir le besoin (cf. dossier K, pièce 16, questions 22, 25 et 26).</w:t>
      </w:r>
    </w:p>
    <w:p>
      <w:r>
        <w:rPr>
          <w:b/>
        </w:rPr>
        <w:t>E. 7.2</w:t>
      </w:r>
    </w:p>
    <w:p>
      <w:r>
        <w:t>Des propres dires de l'intéressé, les ex-époux ont réalisé que leur avenir commun était compromis puisqu'ils n'avaient finalement pas de projets à réaliser ensemble, notamment celui qui lui tenait le plus à coeur, à savoir d'être père (cf. dossier K, pièce 10, page 75). Son ex-épouse a déclaré qu'elle et son ex-époux « n'av[aient] pas vraiment de projet » au mois de mai 2018 (cf. dossier K, pièce 16, questions 35 et 36). En ce sens, les ex-époux se sont accordés sur le fait qu'ils n'avaient pas de projets de couple lors de la naturalisation de l'intéressé.</w:t>
      </w:r>
    </w:p>
    <w:p>
      <w:r>
        <w:rPr>
          <w:b/>
        </w:rPr>
        <w:t>E. 7.3</w:t>
      </w:r>
    </w:p>
    <w:p>
      <w:r>
        <w:t>Il n'est pas contesté que l'intéressé a eu connaissance des problèmes de procréation de sa future ex-épouse avant même l'union conjugale, que l'ex-couple a continué à vivre ensemble près de neuf ans après la fausse couche de cette dernière et qu'il n'avait lui-même pas l'intention de divorcer (cf. act. 8 TAF, page 4 ; act. 12 TAF, page 2). Au moment de l'entrée en force de la naturalisation, l'ex-épouse avait cependant fait part à l'intéressé de sa volonté de mettre fin à l'union conjugale afin qu'il puisse constituer une famille de son côté faute de pouvoir lui donner l'enfant qu'il souhaitait (cf. act. 8 TAF, page 4). A cet égard, elle a déclaré à plusieurs reprises et de manière crédible que la cause de la séparation était l'impossibilité d'avoir une descendance commune et cela malgré les sentiments réciproques éprouvés par les ex-époux. Cet élément n'est d'ailleurs pas remis en cause par l'intéressé (cf. dossier K, pièce 6, annexe 1). En outre, le recourant n'a pas amené de preuves démontrant l'existence de projets concrets et sérieux du couple, postérieurs à la décision d'octroi de la naturalisation, susceptibles de convaincre le Tribunal de la stabilité de l'union et de son caractère tourné vers l'avenir.</w:t>
      </w:r>
    </w:p>
    <w:p>
      <w:r>
        <w:rPr>
          <w:b/>
        </w:rPr>
        <w:t>E. 7.4</w:t>
      </w:r>
    </w:p>
    <w:p>
      <w:r>
        <w:t>Dans la décision querellée, l'autorité intimée a également relevé que le recourant avait épousé une ressortissante suisse de neuf ans son aînée, différence d'âge allant à l'encontre du profil type de l'épouse béninoise. Concernant cet argument, le Tribunal considère important de rappeler que les autorités doivent faire preuve de retenue en lien avec de telles généralisations sur les moeurs d'un pays étranger et que l'on ne discerne pas, dans la présente affaire, en quoi cet élément serait de nature à démontrer que le recourant aurait caché un fait essentiel ou menti aux autorités (cf., en ce sens, arrêt du TF 1C_377/2017 consid. 2.2.3 et arrêt du TAF F-3847/2017 du 22 mai 2018 consid. 8.1 ; voir aussi arrêt du TF 1C_588/2017 du 30 novembre 2017 consid. 5.3.2).</w:t>
      </w:r>
    </w:p>
    <w:p>
      <w:r>
        <w:rPr>
          <w:b/>
        </w:rPr>
        <w:t>E. 7.5</w:t>
      </w:r>
    </w:p>
    <w:p>
      <w:r>
        <w:t>En définitive, les éléments exposés ci-dessus constituent un faisceau d'indices suffisant permettant de conclure que la communauté conjugale des intéressés n'était ni stable, ni tournée vers l'avenir au moment de l'octroi de la naturalisation facilitée du recourant vu la volonté de son ex-épouse de se séparer à ce moment et les divergences du couple relatives à la procréation.</w:t>
      </w:r>
    </w:p>
    <w:p>
      <w:r>
        <w:rPr>
          <w:b/>
        </w:rPr>
        <w:t>E. 8</w:t>
      </w:r>
    </w:p>
    <w:p>
      <w:r>
        <w:t>Il convient encore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w:t>
      </w:r>
    </w:p>
    <w:p>
      <w:r>
        <w:rPr>
          <w:b/>
        </w:rPr>
        <w:t>E. 8.1</w:t>
      </w:r>
    </w:p>
    <w:p>
      <w:r>
        <w:t>Dans son recours, l'intéressé a mis en avant une lassitude qui se serait installée au sein de l'ex-couple comme élément postérieur à la signature de la déclaration de vie commune qui aurait mis définitivement un terme au lien conjugal. Par ces arguments, le recourant tente ainsi d'accréditer la thèse selon laquelle la déliquescence de son couple serait postérieure à sa naturalisation facilitée.</w:t>
      </w:r>
    </w:p>
    <w:p>
      <w:r>
        <w:rPr>
          <w:b/>
        </w:rPr>
        <w:t>E. 8.2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8.2.1</w:t>
      </w:r>
    </w:p>
    <w:p>
      <w:r>
        <w:t>En l'espèce, après presque sept ans de vie conjugale, soit du 26 juillet 2013 au 1er mars 2020, l'intéressé s'est installé chez un ami(cf. dossier K, pièce 10, annexe 1). Les ex-époux ont avancé une certaine lassitude qui s'était installée, laquelle a peu à peu abouti à un premier éloignement (cf. dossier K, pièce 16, annexe 1 ; act. 8 TAF, page 4 ; act. 12 TAF, page 3). Selon le recourant, les ex-époux n'avaient jamais eu la volonté auparavant de se séparer, ni éprouvé la moindre hésitation à poursuivre légitimement la vie commune malgré la charge qu'auraient représenté les deux enfants de sa future ex-épouse (cf. dossier K, pièce 10, annexe 1 et pièce 21). En revanche, son ex-épouse a concédé en octobre 2021 que les problèmes conjugaux, qui avaient entraîné le divorce, concernaient la question d'avoir un enfant (cf. dossier K, pièce 6). Cette cause ressort également de la requête commune de divorce déposée le 20 août 2020 (cf. dossier K, pièce 6, annexe 1 ; pièce 10, annexes 1 et 2). La requête de divorce indique que leur division découlait du souhait de l'intéressé d'enfanter. Au contraire, son ex-épouse ne le souhaitait pas, d'autant moins qu'elle avait deux fils dont elle devait s'occuper sans appui de leur père (cf. dossier K, pièce 10, page 75).</w:t>
      </w:r>
    </w:p>
    <w:p>
      <w:r>
        <w:rPr>
          <w:b/>
        </w:rPr>
        <w:t>E. 8.2.2</w:t>
      </w:r>
    </w:p>
    <w:p>
      <w:r>
        <w:t>Il ne peut pas être exclu que la lassitude, qui s'est installée au sein du couple ait joué un rôle dans le délitement de la relation. Toutefois, le raisonnement du recourant ne change rien au fait que l'ex-épouse de l'intéressé a, postérieurement au divorce, encore réitéré de manière crédible que la cause principale de la séparation et des problèmes conjugaux était due à l'absence de descendance commune. Il apparaît donc que le processus de délitement du lien conjugal s'est effectué au fil des années et ne relève d'aucun évènement soudain. De plus, la communauté conjugale n'était déjà plus stable et orientée vers l'avenir au moment de l'octroi de la naturalisation facilitée.</w:t>
      </w:r>
    </w:p>
    <w:p>
      <w:r>
        <w:rPr>
          <w:b/>
        </w:rPr>
        <w:t>E. 8.2.3</w:t>
      </w:r>
    </w:p>
    <w:p>
      <w:r>
        <w:t>Au vu de l'ensemble des pièces du dossier et en procédant à une appréciation globale des preuves, le Tribunal ne distingue aucun évènement extraordinaire ayant entraîné la détérioration rapide du lien conjugal des intéressés : les difficultés rencontrées par le couple, qui ont conduit à une irrémédiable et progressive dégradation de leur lien conjugal, ne sauraient être considérées comme constitutives d'un élément libérateur au sens de la jurisprudence. Pour les mêmes raisons, il convient de conclure que le recourant ne pouvait ignorer que son couple ne représentait plus une union stable et tournée vers l'avenir. Il n'a de surcroît pas rendu vraisemblable que les problèmes rencontrés étaient mineurs et qu'il n'aurait pas pu en mesurer l'importance.</w:t>
      </w:r>
    </w:p>
    <w:p>
      <w:r>
        <w:rPr>
          <w:b/>
        </w:rPr>
        <w:t>E. 8.3</w:t>
      </w:r>
    </w:p>
    <w:p>
      <w:r>
        <w:t>En conclusion, le Tribunal considère que les époux ne formaient déjà plus une communauté conjugale effective, stable et orientée vers l'avenir au moment de la signature de la déclaration concernant la communauté conjugale du 27 février 2018. Par ailleurs, le recourant n'est pas parvenu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 n'ait pas été conscient - au moment de la signature de la déclaration de vie commune et lors du prononcé de la naturalisation - que la communauté conjugale alors vécue par les époux ne présentait pas l'intensité et la stabilité requises.</w:t>
      </w:r>
    </w:p>
    <w:p>
      <w:r>
        <w:rPr>
          <w:b/>
        </w:rPr>
        <w:t>E. 8.4</w:t>
      </w:r>
    </w:p>
    <w:p>
      <w:r>
        <w:t>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9</w:t>
      </w:r>
    </w:p>
    <w:p>
      <w:r>
        <w:t>Compte tenu de ce qui précède, c'est à bon droit que l'autorité intimée a retenu que l'intéressé avait fait, lors de la procédure de naturalisation facilitée, des déclarations mensongères quant à la stabilité et l'effectivité de sa communauté conjugale. Par sa décision du 20 janvier 2022,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