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F-7978/2015 vom 23. Mai 2019</w:t>
      </w:r>
    </w:p>
    <w:p>
      <w:r>
        <w:t>Bundesverwaltungsgericht, 2019-05-23, DE</w:t>
      </w:r>
    </w:p>
    <w:p>
      <w:r>
        <w:rPr>
          <w:b/>
        </w:rPr>
        <w:t xml:space="preserve">Quelle: </w:t>
      </w:r>
      <w:r>
        <w:t>https://mcp.opencaselaw.ch/entscheid/bvger_F-7978_2015</w:t>
      </w:r>
    </w:p>
    <w:p>
      <w:r>
        <w:t>FR: TAF F-7978/2015 du 23 mai 2019</w:t>
      </w:r>
    </w:p>
    <w:p>
      <w:r>
        <w:t>IT: TAF F-7978/2015 del 23 maggio 2019</w:t>
      </w:r>
    </w:p>
    <w:p>
      <w:pPr>
        <w:pStyle w:val="Heading2"/>
      </w:pPr>
      <w:r>
        <w:t>Regeste</w:t>
      </w:r>
    </w:p>
    <w:p>
      <w:r>
        <w:t>Familienzusammenführung (v.A.)</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Verfügungen des SEM betreffend Familiennachzug nach Art. 85 Abs. 7 AIG. Eine Ausnahme nach Art. 32 VGG liegt nicht vor.</w:t>
      </w:r>
    </w:p>
    <w:p>
      <w:r>
        <w:rPr>
          <w:b/>
        </w:rPr>
        <w:t>E. 1.2</w:t>
      </w:r>
    </w:p>
    <w:p>
      <w:r>
        <w:t>Das Rechtsmittelverfahren vor dem Bundesverwaltungsgericht richtet sich nach dem VwVG, soweit das VGG nichts anderes bestimmt (vgl. Art. 37 VGG).</w:t>
      </w:r>
    </w:p>
    <w:p>
      <w:r>
        <w:rPr>
          <w:b/>
        </w:rPr>
        <w:t>E. 1.3</w:t>
      </w:r>
    </w:p>
    <w:p>
      <w:r>
        <w:t>Der Beschwerdeführer ist als Verfügungsadressat zur Beschwerde legitimiert. Die Beschwerde wurde frist- und formgerecht eingereicht (Art. 48 Abs. 1, Art. 50 und 52 VwVG).</w:t>
      </w:r>
    </w:p>
    <w:p>
      <w:r>
        <w:rPr>
          <w:b/>
        </w:rPr>
        <w:t>E. 1.4</w:t>
      </w:r>
    </w:p>
    <w:p>
      <w:r>
        <w:t>Das Bundesverwaltungsgericht entscheidet in der vorliegenden Sache endgültig (vgl. Art. 83 Bst. c Ziff. 1 und 3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Mit Wirkung per 1. Januar 2019 wurde die Teilrevision des Ausländergesetzes vom 16. Dezember 2005 (AuG) abschliessend in Kraft gesetzt (AS 2018 3171). Dabei wurde auch der Titel des Gesetzes in "Ausländer- und Integrationsgesetz" (AIG) geändert. Parallel dazu traten entsprechende Anpassungen der Verordnung vom 24. Oktober 2007 über Zulassung, Aufenthalt und Erwerbstätigkeit (VZAE, SR 142.201) in Kraft.</w:t>
      </w:r>
    </w:p>
    <w:p>
      <w:r>
        <w:rPr>
          <w:b/>
        </w:rPr>
        <w:t>E. 3.2</w:t>
      </w:r>
    </w:p>
    <w:p>
      <w:r>
        <w:t>Fehlt - wie vorliegend - eine gesetzliche Übergangsregelung, muss aufgrund allgemeiner Grundsätze über das anwendbare Recht entschieden werden. Bei Rechtsänderungen finden nach Lehre und Rechtsprechung jene Bestimmungen auf hängige Verfahren Anwendung, welche zum Zeitpunkt des erstinstanzlichen Entscheids Geltung hatten. Später eingetretene Rechtsänderungen sind nur ausnahmsweise zu berücksichtigen, wenn zwingende Gründe für die sofortige Anwendung des neuen Rechts sprechen (zum Ganzen vgl. Urteile des BVGer F-3709/2017 vom 14. Januar 2019 E. 2.1-2.3 und F-1186/2018 vom 10. Januar 2019 E. 2.1- 2.3 je m.H.).</w:t>
      </w:r>
    </w:p>
    <w:p>
      <w:r>
        <w:rPr>
          <w:b/>
        </w:rPr>
        <w:t>E. 3.3</w:t>
      </w:r>
    </w:p>
    <w:p>
      <w:r>
        <w:t>Die angefochtene Verfügung erging vor dem Inkrafttreten des neuen Rechts. Mangels vorherrschenden öffentlichen Interesses an einer unmittelbaren Anwendung der neuen Bestimmungen gelten daher vorliegend das AuG und die VZAE in ihrer bis zum 31. Dezember 2018 geltenden Fassung (siehe F-3709/2017 E. 2.4 m.H.).</w:t>
      </w:r>
    </w:p>
    <w:p>
      <w:r>
        <w:rPr>
          <w:b/>
        </w:rPr>
        <w:t>E. 4.1</w:t>
      </w:r>
    </w:p>
    <w:p>
      <w:r>
        <w:t>Gestützt auf Art. 85 Abs. 7 AuG können Ehegatten und ledige Kinder unter 18 Jahren von in der Schweiz vorläufig aufgenommenen Personen und vorläufig aufgenommenen Flüchtlingen frühestens drei Jahre nach Anordnung der vorläufigen Aufnahme nachgezogen und in diese eingeschlossen werden. Vorausgesetzt wird zudem, dass sie mit diesen zusammenwohnen (Bst. a), eine bedarfsgerechte Wohnung vorhanden (Bst. b) und die Familie nicht auf Sozialhilfe angewiesen ist (Bst. c). Das Gesuch für Kinder unter 12 Jahren muss innerhalb von fünf Jahren, dasjenige für Kinder über 12 Jahre innerhalb von zwölf Monaten nach Ablauf der dreijährigen Karenzfrist eingereicht werden (vgl. Art. 74 Abs. 3 VZAE). Ein nachträglicher Familiennachzug kann nur bewilligt werden, wenn wichtige familiäre Gründe geltend gemacht werden. Kinder über 14 Jahre werden zum Familiennachzug angehört, sofern dies erforderlich ist. Die Anhörung findet in der Regel bei der Schweizerischen Vertretung am Aufenthaltsort statt (vgl. Art. 74 Abs. 4 VZAE). Wichtige familiäre Gründe liegen vor, wenn das Kindswohl nur durch den Nachzug in die Schweiz gewahrt werden kann (vgl. Art. 75 VZAE).</w:t>
      </w:r>
    </w:p>
    <w:p>
      <w:r>
        <w:rPr>
          <w:b/>
        </w:rPr>
        <w:t>E. 4.2</w:t>
      </w:r>
    </w:p>
    <w:p>
      <w:r>
        <w:t>Wie bereits ausgeführt, wurde der Beschwerdeführer mit Verfügung vom 28. Juni 2010 vorläufig aufgenommen. Diese Ersatzmassnahme für einen als unzumutbar erachteten Wegweisungsvollzug wurde von der Vorinstanz in der Zwischenzeit regelmässig überprüft und bestätigt (letztmals am 29. November 2018; SEM-act. unpaginiert). Der Beschwerdeführer stellte das Gesuch um Familiennachzug für seine am 12. August 2004 geborene Tochter am 29. August 2014. Die Fristen nach Art. 85 Abs. 7 AuG und Art. 74 VZAE waren somit eingehalten.</w:t>
      </w:r>
    </w:p>
    <w:p>
      <w:r>
        <w:rPr>
          <w:b/>
        </w:rPr>
        <w:t>E. 5</w:t>
      </w:r>
    </w:p>
    <w:p>
      <w:r>
        <w:t>Zu prüfen bleibt nachfolgend, wie es sich mit den materiellen Voraussetzungen nach Art. 85 Abs. 7 Bst. a-c AuG verhält, wobei die Vorinstanz in ihrer Verfügung vom 30. Oktober 2015 einzig die Bedingungen bezüglich der bedarfsgerechten Wohnung (Bst. b) sowie der finanziellen Unabhängigkeit (Bst. c) thematisierte.</w:t>
      </w:r>
    </w:p>
    <w:p>
      <w:r>
        <w:rPr>
          <w:b/>
        </w:rPr>
        <w:t>E. 5.1</w:t>
      </w:r>
    </w:p>
    <w:p>
      <w:r>
        <w:t>In der angefochtenen Verfügung bemängelte die Vorinstanz das Fehlen einer bedarfsgerechten Wohnung. Der Beschwerdeführer wohne gemeinsam mit einer anderen Person in einer 4.5-Zimmerwohnung der Caritas, in welcher ihm ein Zimmer zur Verfügung stehe. Nun kann aber gemäss ständiger Rechtsprechung von gesuchstellenden Personen in aller Regel nicht vorausgesetzt werden, dass sie bereits zum Zeitpunkt ihrer Antragstellung über eine bedarfsgerechte Wohnung verfügen (vgl. Urteil des BVGer F-7288/2014 vom 5. Dezember 2016 E. 5.2). Dessen unbesehen ist es dem Beschwerdeführer in der Zwischenzeit gelungen, per 1. Oktober 2017 einen Mietvertrag über eine genügend grosse Wohnung abzuschliessen (BVGer act. 13, Beilage). Selbst wenn diese Wohnung nicht als Familienwohnung zu mieten wäre (der in Kopie eingereichte Mietvertrag trägt den Vermerk "für max. 1 Person"), ist davon auszugehen, dass es dem Beschwerdeführer im Falle einer Gewährung des Familiennachzuges möglich wäre, ein gleichartiges Objekt für zwei Personen zu finden. Schliesslich bezahlt er für seine derzeitige 3-Zimmer-Wohnung einen (mit grosser Wahrscheinlichkeit marktüblichen) Mietzins von Fr. 1'200.- (Nebenkosten inklusive). Unter diesen Umständen scheint die Bedingung von Art. 85 Abs. 7 Bst. b AuG einer Gewährung des Familiennachzugs zugunsten der Tochter nicht zwingend entgegenzustehen.</w:t>
      </w:r>
    </w:p>
    <w:p>
      <w:r>
        <w:rPr>
          <w:b/>
        </w:rPr>
        <w:t>E. 5.2</w:t>
      </w:r>
    </w:p>
    <w:p>
      <w:r>
        <w:t>Des Weiteren beanstandete die Vorinstanz in der angefochtenen Verfügung, dass der Beschwerdeführer nicht über ausreichende finanzielle Mittel verfüge, um für drei Kinder aufkommen zu können. Sein Einkommen genüge bereits jetzt (zum Zeitpunkt des Erlasses der Verfügung) nicht, um die Unterhaltsbeiträge für seine beiden in der Schweiz lebenden Kinder zu leisten. Aus den dem Bundesverwaltungsgericht zur Verfügung stehenden Akten ergibt sich folgendes Bild: Der Beschwerdeführer lebt nunmehr seit gut zehn Jahren in der Schweiz. Seit März 2014 geht er einer regelmässigen Arbeit im Vollpensum nach (zuerst im Stundenlohn, dann seit 1. Januar 2016 im Monatslohn bei einer Firma in X._______). Seit Mitte Februar 2018 ist er als Hilfsarbeiter im Stundenlohn zu brutto Fr. 25.- bei einer Firma in Y._______ angestellt (BVGer-act. 13, Beilage). Gemäss der letzten eingereichten Lohnabrechnung erzielte er an seiner aktuellen Arbeitsstelle im März 2018 einen Netto-Lohn von rund Fr. 4'000.-. Den (allerdings nicht vollständig ausgewiesenen und aktualisierten) Angaben des Beschwerdeführers folgend sind dem Einkommen monatliche Ausgaben in der Höhe von zirka Fr. 3'600.- gegenüber zu stellen. Dabei bleibt insbesondere unklar, ob er inzwischen regelmässige Unterhaltsbeiträge für seine beiden in der Schweiz lebenden Kinder leistet. Gestützt auf die vorhandenen Zahlen kann zumindest nicht ausgeschlossen werden, dass es dem Beschwerdeführer aktuell möglich wäre, im Rahmen des Notwendigen für seine drei Kinder aufzukommen.</w:t>
      </w:r>
    </w:p>
    <w:p>
      <w:r>
        <w:rPr>
          <w:b/>
        </w:rPr>
        <w:t>E. 5.3</w:t>
      </w:r>
    </w:p>
    <w:p>
      <w:r>
        <w:t>In Beachtung der seit Erlass der angefochtenen Verfügung eingetretenen Veränderungen in den persönlichen Verhältnissen des Beschwerdeführers rechtfertigt es sich, die angefochtene Verfügung zu kassieren und die Vorinstanz aufzufordern, zusammen mit der zuständigen kantonalen Migrationsbehörde die finanziellen Verhältnisse des Beschwerdeführers einer erneuten Überprüfung zu unterziehen und anschliessend gestützt auf die aktualisierten Gesamtumstände über das Gesuch um Familiennachzug zu befinden.</w:t>
      </w:r>
    </w:p>
    <w:p>
      <w:r>
        <w:rPr>
          <w:b/>
        </w:rPr>
        <w:t>E. 6</w:t>
      </w:r>
    </w:p>
    <w:p>
      <w:r>
        <w:t>Aus den vorstehenden Erwägungen folgt, dass die angefochtene Verfügung Bundesrecht verletzt (Art. 49 VwVG). Die Beschwerde ist gutzuheissen und die angefochtene Verfügung aufzuheben.</w:t>
      </w:r>
    </w:p>
    <w:p>
      <w:r>
        <w:rPr>
          <w:b/>
        </w:rPr>
        <w:t>E. 7</w:t>
      </w:r>
    </w:p>
    <w:p>
      <w:r>
        <w:t>Bei diesem Verfahrensausgang sind keine Kosten aufzuerlegen (Art. 63 Abs. 1 und 2 VwVG), womit das Gesuch um Gewährung der unentgeltlichen Rechtspflege hinfällig wird. Eine Parteientschädigung ist nicht zuzusprechen, da dem nicht vertretenen Beschwerdeführer durch die Prozessführung offensichtlich keine verhältnismässig hohen Kosten erwachsen sind (Art. 64 Abs. 1 VwVG,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