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F-7955/2025 vom 29. Oktober 2025</w:t>
      </w:r>
    </w:p>
    <w:p>
      <w:r>
        <w:t>Bundesverwaltungsgericht, 2025-10-29, DE</w:t>
      </w:r>
    </w:p>
    <w:p>
      <w:r>
        <w:rPr>
          <w:b/>
        </w:rPr>
        <w:t xml:space="preserve">Quelle: </w:t>
      </w:r>
      <w:r>
        <w:t>https://mcp.opencaselaw.ch/entscheid/bvger_F-7955_2025</w:t>
      </w:r>
    </w:p>
    <w:p>
      <w:r>
        <w:t>FR: TAF F-7955/2025 du 29 octobre 2025</w:t>
      </w:r>
    </w:p>
    <w:p>
      <w:r>
        <w:t>IT: TAF F-7955/2025 del 29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2.3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2.4</w:t>
      </w:r>
    </w:p>
    <w:p>
      <w:r>
        <w:t>Im Rahmen eines Wiederaufnahmeverfahrens (engl.: take back) findet grundsätzlich keine (erneute) Zuständigkeitsprüfung nach Kapitel III statt. (vgl. zum Ganzen BVGE 2017 VI/5 E. 6.2 und 8.2.1 m.w.H.).</w:t>
      </w:r>
    </w:p>
    <w:p>
      <w:r>
        <w:rPr>
          <w:b/>
        </w:rPr>
        <w:t>E. 2.5</w:t>
      </w:r>
    </w:p>
    <w:p>
      <w:r>
        <w:t>Im Falle eines unbegleiteten Minderjährigen ohne familiäre Anknüpfungspunkte (zu einem anderen Mitgliedstaat) ist gemäss Art. 8 Abs. 4 Dublin-III-VO der Staat zuständig, in welchem er seinen Antrag gestellt hat. Diese Bestimmung begründet bei gegebener Minderjährigkeit eine vorrangige Zuständigkeit der Schweiz (Art. 7 Abs. 1 Dublin-III-VO), da unbegleitete Minderjährige vom Wiederaufnahmeverfahren ausgenommen sind (vgl. z.B. Urteil des BVGer F-3995/2025, F-4000/2025 vom 20. Juni 2025 E. 4.3.1 m.w.H.).</w:t>
      </w:r>
    </w:p>
    <w:p>
      <w:r>
        <w:rPr>
          <w:b/>
        </w:rPr>
        <w:t>E. 2.6</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2.7</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2.8</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2.9</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3.1</w:t>
      </w:r>
    </w:p>
    <w:p>
      <w:r>
        <w:t>Die Vorinstanz hat korrekt erwogen, dass der Beschwerdeführer vier unterschiedliche, sich widersprechende Angaben zu seinem Geburtsdatum gemacht hat (Bulgarien: [...] 2004; Österreich: [...] 2008; Schweiz: [...] 2007 und [...] 2008) und er seine unterschriftlich bestätigten Angaben gegen sich gelten lassen muss. Unter Berücksichtigung des durchgeführten Altersgutachtens vom 8. Juli 2025 und unter Verweis auf die Rechtsprechung des Bundesverwaltungsgerichts hat die Vorinstanz ausführlich dargelegt, weshalb sie zum Schluss kommt, dass er in der Gesamtbeurteilung seine Minderjährigkeit nicht im Sinne von Art. 7 AsylG glaubhaft gemacht oder belegt hat. Der Beschwerdeführer hat keine rechtsgenüglichen Identitätspapiere eingereicht, welche seine Minderjährigkeit belegen würden. Die von der Rechtsvertretung digital übermittelte Kopie seiner Tazkira war nicht lesbar. Die Angaben zu seinem Alter und Geburtsdatum während der EB UMA wirken konstruiert und legen die Vermutung nahe, dass er beabsichtigte, die Vorinstanz über sein wahres Geburtsdatum und Alter zu täuschen. Auch sind seine Angaben, die österreichischen Behörden hätten keine Zweifel an seinem Alter gehabt und es sei kein Altersgutachten geplant gewesen, aktenwidrig. In Österreich war eine Altersfeststellung vorgesehen, der Beschwerdeführer hat sich dieser jedoch durch sein Untertauchen entzogen (Akten der Vorinstanz [SEM-act.] 17/2). Zusammenfassend kann mit der Vorinstanz festgehalten werden, dass die Aussagen des Beschwerdeführers kein Indiz für seine Minderjährigkeit darzustellen vermögen, da es ihnen an der erforderlichen Detailliertheit und Widerspruchsfreiheit fehlt. Mit seiner Registrierung als Volljähriger in Bulgarien ([...] 2004) sowie seinem anlässlich der Kontrolle bei der Einreise in die Schweiz angegebenen Geburtsdatum ([...] 2007) und dem Altersgutachten vom 8. Juli 2025, das ein Mindestalter von 19 Jahren ergab, liegen starke Indizien für seine Volljährigkeit vor. Die Vorinstanz ging folglich zu Recht von der Volljährigkeit des Beschwerdeführers aus. Zudem hat die Vorinstanz korrekt erwogen, dass gemäss Art. 18 Abs. 1 Bst. b Dublin-III-VO grundsätzlich Österreich für die Behandlung des Asylgesuchs des Beschwerdeführers zuständig ist, dass das österreichische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zur Ausreise gezwungen würde, und dass keine konkreten Hinweise dafür vorliegen, dass er bei einer Rückkehr nach Österreich in eine existenzielle Notlage geraten würde. Darüber hinaus hat die Vorinstanz in rechtsfehlerfreier Ausübung des ihr nach Art. 17 Abs. 1 Dublin-III-VO und Art. 29a Abs. 3 AsylV 1 zukommenden Ermessens von einem freiwilligen Selbsteintritt der Schweiz abgesehen. Sie hat den Gesundheitszustand des Beschwerdeführers, insbesondere seine psychische Verfassung, hinreichend abgeklärt, in den Überstellungsmodalitäten aufgeführt und korrekt dahingehend gewürdigt, dass ihm in Österreich der Zugang zur allenfalls benötigten medizinischen Behandlung offensteht. Die Vorinstanz ist demnach zu Recht in Anwendung von Art. 31a Abs. 1 Bst. b AsylG auf das Asylgesuch des Beschwerdeführers nicht eingetreten und hat in Anwendung von Art. 44 AsylG seine Wegweisung nach Österreich angeordnet. Zur näheren Begründung wird auf die korrekten vorinstanzlichen Erwägungen verwiesen.</w:t>
      </w:r>
    </w:p>
    <w:p>
      <w:r>
        <w:rPr>
          <w:b/>
        </w:rPr>
        <w:t>E. 3.2</w:t>
      </w:r>
    </w:p>
    <w:p>
      <w:r>
        <w:t>Wenn der Beschwerdeführer in seiner Beschwerde das Resultat des Altersgutachtens unter Verweis auf in jungen Jahren verrichtete harte körperliche Arbeit zu entkräften versucht, überzeugt dies nicht und vermag die vorinstanzliche Volljährigkeitsannahme nicht in Zweifel zu ziehen. Dass der Beschwerdeführer auf Rechtsmittelebene sodann unsubstantiiert vorbringt, in Österreich Opfer von rassistischer Diskriminierung, Misshandlungen und unmenschlichen Lebensbedingungen geworden zu sein, vermag an der Richtigkeit der vorinstanzlichen Verfügung nichts zu ändern. Ebenso wenig vermögen dies seine ebenfalls unsubstantiierten Vorbringen, in den österreichischen Flüchtlingsunterkünften habe es nicht ausreichend Nahrung gegeben und er sei respektlos behandelt worden. Mangels systemischer Mängel im Sinne von Art. 3 Abs. 2 Dublin-III-VO kann davon ausgegangen werden, dass Österreich seinen völker- und gemeinschaftsrechtlichen Verpflichtungen gegenüber Personen in der Situation des Beschwerdeführers nachkommt und insbesondere auch die Rechte respektiert und schützt, die sich aus der sogenannten Verfahrens- und Aufnahmerichtlinie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F-6649/2025 vom 15. September 2025 S. 4; F-4708/2025 vom 7. Juli 2025 E. 5.2). Entsprechend kann sich der Beschwerdeführer bei allfälligen vorübergehenden Einschränkungen dieser Rechte an die österreichischen Behörden wenden und seine Rechte auf dem Rechtsweg einfordern (vgl. Art. 26 Aufnahmerichtlinie). Weiter bringt er in seiner Beschwerde vor, nach Erhalt des negativen Entscheids seien seine Suizidgedanken und Ängste zurückgekehrt, was jedoch nicht zur Annahme führt, eine Überstellung nach Österreich verstosse gegen Art. 3 EMRK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betreffend Suizidalität im Besonderen vgl. Urteile des BGer 2C_221/2020 vom 19. Juni 2020 E. 2; 2C_856/2015 vom 10. Oktober 2015 E. 3.2.1; Urteil des BVGer F-2897/2024 vom 15. Mai 2024 E. 6.8). Der erneuten Äusserung von Suizidgedanken ist durch die Vorinstanz Rechnung zu tragen, indem sie die Überstellungsmodalitäten entsprechend aktualisiert. Soweit der Beschwerdeführer darüber hinaus ohne nähere Substantiierung zum Ausdruck bringt, dass er sich in psychischer Hinsicht als behandlungsbedürftig betrachtet, ist festzuhalten, dass Österreich über eine ausreichende, für Dublin-Überstellte hinreichend zugängliche medizinische Infrastruktur verfügt (Urteile des BVGer F-1124/2025 vom 5. März 2025 E. 2.2; F-74/2025 vom 17. Februar 2025 E. 3.2.2) und die Mitgliedstaaten verpflichtet sind, Antragstellern die erforderliche medizinische Versorgung, die zumindest die Notversorgung und die unbedingt erforderliche Behandlung von Krankheiten und psychischen Störungen umfasst, zugänglich zu machen (Art. 19 Abs. 1 Aufnahmerichtlinie). Es liegen keine konkreten Hinweise vor, wonach Österreich ihm diese verweigern würde. Aufgrund des Gesagten ist eine zusätzliche fachärztliche Überprüfung der Gesundheitssituation des Beschwerdeführers in der Schweiz nicht angezeigt, weshalb der entsprechende Antrag abzuweisen ist.</w:t>
      </w:r>
    </w:p>
    <w:p>
      <w:r>
        <w:rPr>
          <w:b/>
        </w:rPr>
        <w:t>E. 4</w:t>
      </w:r>
    </w:p>
    <w:p>
      <w:r>
        <w:t>Aus den vorstehenden Erwägungen ergibt sich, dass die angefochtene Verfügung vom 13. Oktober 2025 nicht zu beanstanden ist und die Beschwerde vollumfänglich abzuweisen ist.</w:t>
      </w:r>
    </w:p>
    <w:p>
      <w:r>
        <w:rPr>
          <w:b/>
        </w:rPr>
        <w:t>E. 5</w:t>
      </w:r>
    </w:p>
    <w:p>
      <w:r>
        <w:t>Mit vorliegendem Urteil fällt der am 17. Oktober 2025 angeordnete Vollzugsstopp dahin.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