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F-7919/2015 vom 20. März 2017</w:t>
      </w:r>
    </w:p>
    <w:p>
      <w:r>
        <w:t>Bundesverwaltungsgericht, 2017-03-20, DE</w:t>
      </w:r>
    </w:p>
    <w:p>
      <w:r>
        <w:rPr>
          <w:b/>
        </w:rPr>
        <w:t xml:space="preserve">Quelle: </w:t>
      </w:r>
      <w:r>
        <w:t>https://mcp.opencaselaw.ch/entscheid/bvger_F-7919_2015</w:t>
      </w:r>
    </w:p>
    <w:p>
      <w:r>
        <w:t>FR: TAF F-7919/2015 du 20 mars 2017</w:t>
      </w:r>
    </w:p>
    <w:p>
      <w:r>
        <w:t>IT: TAF F-7919/2015 del 20 marzo 2017</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Beschwerdeführer ist als deutscher Staatsangehöriger einer Vertragspartei des Abkommens vom 21. Juni 1999 zwischen der Schweizerischen Eidgenossenschaft einerseits und der Europäischen Gemeinschaft und ihren Mitgliedstaaten andererseits über die Freizügigkeit (Freizügigkeitsabkommen, FZA, SR 0.142.112.681). Gemäss Art. 2 Abs. 2 des Bundesgesetzes vom 16. Dezember 2005 über die Ausländerinnen und Ausländer (AuG, SR 142.20) ist daher das ordentliche Ausländerrecht - bestehend aus dem AuG und seinen Ausführungsverordnungen - nur soweit anwendbar, als das FZA keine abweichenden Bestimmungen enthält oder die Bestimmungen des ordentlichen Ausländerrechts günstiger sind.</w:t>
      </w:r>
    </w:p>
    <w:p>
      <w:r>
        <w:rPr>
          <w:b/>
        </w:rPr>
        <w:t>E. 4.1</w:t>
      </w:r>
    </w:p>
    <w:p>
      <w:r>
        <w:t>Landesrechtliche Grundlage der angefochtenen Verfügung bildet Art. 67 AuG, der in den Absätzen 1 und 2 eine Reihe von Tatbeständen vor-sieht, welche ein Einreiseverbot nach sich ziehen oder nach sich ziehen können. Ein solches fällt unter anderem gegen ausländische Personen in Betracht, welche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AuG).</w:t>
      </w:r>
    </w:p>
    <w:p>
      <w:r>
        <w:rPr>
          <w:b/>
        </w:rPr>
        <w:t>E. 4.2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4.4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(vgl. BGE 139 II 121 E. 6.3; Urteil des BGer 2C_270/2015 vom 6. August 2015 E. 4.2; BVGE 2013/4 E. 7.2.4; Urteil des BVGer C-5602/2012 vom 16. Januar 2015 E. 6.1 m.H.).</w:t>
      </w:r>
    </w:p>
    <w:p>
      <w:r>
        <w:rPr>
          <w:b/>
        </w:rPr>
        <w:t>E. 5.1</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Im Interesse einer einheitlichen Auslegung und Anwendung des Ordre-Public-Vorbehaltes auf der Grundlage des Gemeinschaftsrechts der Europäischen Union (EU) verweist das Freizügigkeitsabkommen auf die Richtlinien 64/221/EWG, 72/194/EWG und 75/35/EWG in ihrer Fassung zum Zeitpunkt der Unterzeichnung (Art. 16 Abs. 1 FZA in Verbindung mit Art. 5 Abs. 2 Anhang I FZA) und auf die vor diesem Zeitpunkt bestandene, einschlägige Rechtsprechung des Gerichtshofs der Europäischen Gemeinschaft (Gerichthof, EuGH) (Art. 16 Abs. 2 FZA). In diesem Sinne schränkt das Freizügigkeitsabkommen die ausländerrechtlichen Befugnisse nationaler Behörden bei der Handhabung landesrechtlicher Massnahmen wie des Einreiseverbots ein.</w:t>
      </w:r>
    </w:p>
    <w:p>
      <w:r>
        <w:rPr>
          <w:b/>
        </w:rPr>
        <w:t>E. 5.2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 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w:t>
      </w:r>
    </w:p>
    <w:p>
      <w:r>
        <w:rPr>
          <w:b/>
        </w:rPr>
        <w:t>E. 5.3</w:t>
      </w:r>
    </w:p>
    <w:p>
      <w:r>
        <w:t>Innerhalb der vom Gemeinschaftsrecht gezogenen Grenzen sind die Vertragsstaaten grundsätzlich frei festzulegen, welche Verhaltensweisen sie als Störung ihrer Grundinteressen betrachten. Eine solche gemeinschafsrechtliche Schranke erblickt der Gerichtshof im primärrechtlichen Verbot der Diskriminierung aufgrund der Staatsangehörigkeit (heute: Art. 18 Vertrag über die Arbeitsweise der Europäischen Union; vgl. die analoge Bestimmung des Art. 2 FZA). Ein Mitgliedstaat kann daher das Verhalten des Staatsangehörigen eines anderen Mitgliedstaates nicht als hinreichend schwerwiegend betrachten, wenn er gegenüber dem gleichen Verhalten eigener Staatsangehöriger keine Zwangs- oder andere tatsächliche und effektive Massnahmen zur Bekämpfung dieses Verhaltens ergreift (Urteile des EuGH vom 18.05.1989 249/86 Kommission/Deutschland, Slg. 1989 1263 Rn. 19, und vom 18.05.1982 115/81 und 116/81 Adoui und Cornuaille, Slg. 1982 1665 Rn. 8). Ansonsten kann auch einfacher Konsum von Betäubungsmitteln eine Gefährdung darstellen, die besondere Massnahmen zum Schutz der öffentlichen Sicherheit und Ordnung gegen Angehörige anderer Mitgliedstaaten rechtfertigen kann (Urteil des EuGH vom 19. Januar 1999 C-348/96 Calfa, Slg. 1999 I-11 Rn. 22).</w:t>
      </w:r>
    </w:p>
    <w:p>
      <w:r>
        <w:rPr>
          <w:b/>
        </w:rPr>
        <w:t>E. 5.4</w:t>
      </w:r>
    </w:p>
    <w:p>
      <w:r>
        <w:t>Art. 67 Abs. 3 AuG gilt auch im Anwendungsbereich des Freizügigkeitsabkommens: Die Dauer der Fernhaltemassnahme gegen eine aus dem FZA berechtigte ausländische Person darf daher fünf Jahre nicht überschreiten, es sei denn, es liegt eine schwerwiegende Gefahr für die öffentliche Sicherheit und Ordnung vor. Die Anforderungen an eine solche qualifizierte Gefährdungslage sind enger gefasst als diejenigen des Art. 5 Anhang I FZA und zugleich unabhängig davon, ob das FZA zur Anwendung gelangt oder nicht. Besteht daher eine schwerwiegende Gefahr für die öffentliche Sicherheit und Ordnung im Sinne des Art. 67 Abs. 3 zweiter Satz AuG, besteht keine Beschränkung des Einreiseverbots auf fünf Jahre, gleichgültig ob die betroffene ausländische Person aus dem FZA berechtigt ist oder nicht (BGE 139 II 121 E. 5.1 - E. 5.4 m.H.; Urteil des BGer 2C_270/2015 vom 6. August 2015 E. 4.1 m.H.).</w:t>
      </w:r>
    </w:p>
    <w:p>
      <w:r>
        <w:rPr>
          <w:b/>
        </w:rPr>
        <w:t>E. 6.1</w:t>
      </w:r>
    </w:p>
    <w:p>
      <w:r>
        <w:t>Der Verurteilung des Beschwerdeführers durch das Appellationsgericht Basel-Stadt lag ein Raubüberfall auf eine Bank, bei welchem der Betrag von rund Fr. 27'000.- entwendet wurde, ferner ein Diebstahl von Catering-Material im Wert von mehreren Tausend Franken zu Lasten seines Arbeitgebers sowie - ebenfalls zu Lasten seines Arbeitgebers - der Diebstahl eines 310 kg schweren Tresors mit den Einnahmen im Betrag von rund Fr. 248'000.- zugrunde. Alle genannten Delikte trugen sich im Zeitraum von November/Dezember 2012 bis kurz vor seiner Festnahme im Juni 2013 zu und wurden zusammen mit seinem 21-jährigen Mittäter, einem engen Freund und Wohnungsgenossen, ausgeführt, der später bei einem missglückten Fluchtversuch aus der Untersuchungshaft mit einer Polizeiwaffe Suizid beging. Der Beschwerdeführer versucht, seine Taten zu bagatellisieren, indem er sie als "hauptsächlich" nicht schwer bezeichnet (mehrfacher Diebstahl, Entwendung zum Gebrauch) und behauptet, er habe im Zusammenhang mit dem gravierendsten Delikt, dem Bankraub, lediglich eine subalterne Rolle inne gehabt. Damit stellt er sich jedoch in groben Widerspruch zum Strafgericht des Kantons Basel-Stadt, dessen Feststellungen und Wertungen vom Appellationsgericht integral bestätigt wurden und das das Verschulden des Beschwerdeführers als schwer, seine kriminelle Energie als erheblich und sein Vorgehen als hartnäckig und kaltblütig bezeichnete.</w:t>
      </w:r>
    </w:p>
    <w:p>
      <w:r>
        <w:rPr>
          <w:b/>
        </w:rPr>
        <w:t>E. 6.2</w:t>
      </w:r>
    </w:p>
    <w:p>
      <w:r>
        <w:t>Im Einzelnen erwog das Strafgericht, der Beschwerdeführer habe mit seinem inzwischen verstorbenen Mittäter mehrere schwerwiegende Straftaten verübt. Beide hätten über ein geregeltes Einkommen verfügt und sich in keiner Notlage befunden. Es sei ihnen einzig um die Finanzierung ihres überzogenen Lebenswandels gegangen. Besonders schwer ins Gewicht falle der Raubüberfall auf eine Bankfiliale: Der Beschwerdeführer habe sich auf die ungleich ungefährlichere Rolle eines als Bankkunde getarnten Aufpassers zurückgezogen und recht berechnend seinem jüngeren Mittäter die Hauptaktivität mit der Waffe - einer Schreckschusspistole - überlassen. Im Strafverfahren habe er versucht, seine Rolle gänzlich hinunterzuspielen und die Verantwortung für das ganze Delikt vollständig auf den verstorbenen Mittäter zu überwälzen. In Wahrheit müsse der Beschwerdeführer, der von seinem jungen Mittäter als "grosser Bruder" bezeichnet worden sei, als die führende Person angesehen werden. Das Strafgericht wies ferner auf den kurzen zeitlichen Abstand zwischen dem Raubüberfall und den beiden Diebstählen zu Lasten des Arbeitgebers, wobei der Deliktbetrag vor allem beim Tresordiebstahl erheblich gewesen sei, das recht professionelle Vorgehen bei der Planung und Durchführung der Delikte und schliesslich auf das Aussageverhalten im Strafverfahren hin. Er habe nur zugegeben, was ihm nachgewiesen worden sei, und habe versucht, seine Rolle in allen Fällen herunterzuspielen. Hinweise auf echte Reue oder Einsicht in das Unrecht seiner Taten seien nicht erkennbar.</w:t>
      </w:r>
    </w:p>
    <w:p>
      <w:r>
        <w:rPr>
          <w:b/>
        </w:rPr>
        <w:t>E. 6.3</w:t>
      </w:r>
    </w:p>
    <w:p>
      <w:r>
        <w:t>Bei den vom Appellationsgericht Basel-Stadt abgeurteilten Straftaten handelt es sich nicht um die ersten Delikte des Beschwerdeführers. Bei den Akten liegt ein deutscher Strafregisterauszug, dem entnommen werden kann, dass der Beschwerdeführer am 20. Dezember 2006 vom Amtsgericht Berlin-Tiergarten wegen Betrugs (durch Unterlassen) zu einer Geldstrafe von 40 Tagessätzen verurteilt wurde. Am 6. Mai 2009 folgte eine Verurteilung durch das Amtsgericht Karlsruhe zu einer Geldstrafe von 25 Tagessätzen wegen vorsätzlichen Fahrens ohne Fahrerlaubnis. Nachdem der Beschwerdeführer im Jahr 2012 in die Schweiz gekommen war, um eine Erwerbstätigkeit als stellvertretender Küchenchef bei einem Basler Gastronomieunternehmen aufzunehmen, verheimlichte er gegenüber der Migrationsbehörde des Kantons Basel-Stadt sein Vorleben, indem er mit Erklärung vom 7. Juni 2012 unterschriftlich bestätigte, dass er nicht vorbestraft sei. Diese Vorfälle fallen für sich alleine zwar nicht schwer ins Gewicht. Zusammen mit den Vorkommnissen, die zur Verurteilung durch das Appellationsgericht Basel-Stadt führten, werfen sie jedoch ein sehr ungünstiges Licht auf die Person des Beschwerdeführers und namentlich seine Bereitschaft, die geltende Rechtsordnung und die Rechtsgüter seiner Mitmenschen zu respektieren.</w:t>
      </w:r>
    </w:p>
    <w:p>
      <w:r>
        <w:rPr>
          <w:b/>
        </w:rPr>
        <w:t>E. 6.4</w:t>
      </w:r>
    </w:p>
    <w:p>
      <w:r>
        <w:t>Angesichts dieser Umstände besteht für das Bundesverwaltungsgericht kein Zweifel daran, dass vom Beschwerdeführer zum Zeitpunkt seiner Festnahme im Juni 2013 eine gegenwärtige, tatsächliche und hinreichend schwere Gefahr für die öffentliche Sicherheit und Ordnung ausging, die im Lichte von Art. 5 Abs. 1 Anhang I FZA geeignet war, ein Einreiseverbot zu rechtfertigen. Damit ist zugleich gesagt, dass die weniger restriktiven Anforderungen des Landesrechts an ein Einreiseverbot, wie sie in Art. 67 Abs. 2 AuG niedergelegt sind, ebenfalls erfüllt waren. Des Weiteren ist das Bundesverwaltungsgericht davon überzeugt, dass die vom Beschwerdeführer ausgehende Gefahr für die öffentliche Sicherheit und Ordnung angesichts seines Vorlebens, seiner Motive, der Natur der Delikte, der Art und Weise ihrer Begehung und seines Nachtatverhaltes im Sinne von Art. 67 Abs. 3 zweiter Satz AuG qualifiziert war. Es ist in diesem Zusammenhang darauf hinzuweisen, dass Raub zu den Anlasstaten gehört, die vom Verfassungsgeber als besonders verwerflich betrachtet werden und zum Verlust eines jeden Aufenthaltsrechts sowie zu einem obligatorischen Einreiseverbot von 5 bis 15 Jahren Dauer führen sollen (Art. 121 Abs. 3 Bst. b und Abs. 4 BV; vgl. auch Art. 66a Abs. 1 Bst. c StGB, der in Konkretisierung der genannten Verfassungsbestimmung auf den 1.Oktober 2016 in Kraft gesetzt wurde). Dieser Wertung ist in den Schranken des übrigen Verfassungs- und des Völkerrechts Rechnung zu tragen (vgl. Urteil des BGer 2C_861/2016 vom 21. Dezember 2016 E. 2.2.2 m. H.). Das bedeutet unter anderem, dass die Anforderungen an die Wiederholungsgefahr herabgesetzt sind.</w:t>
      </w:r>
    </w:p>
    <w:p>
      <w:r>
        <w:rPr>
          <w:b/>
        </w:rPr>
        <w:t>E. 6.5</w:t>
      </w:r>
    </w:p>
    <w:p>
      <w:r>
        <w:t>Zur weiteren Entwicklung der Gefährdungslage ist zu bemerken, dass sich der Beschwerdeführer bis zu seiner bedingten Entlassung aus dem Strafvollzug per 26. Dezember 2015 in Unfreiheit befand und als Folge des Widerrufs seiner Aufenthaltsbewilligung im April 2016 die Schweiz verlassen musste. Dem Beschwerdeführer wird zwar von den zuständigen Behörden ein tadelloses Vollzugsverhalten bescheinigt. Im ausländerrechtlichen Administrativverfahren kommt jedoch weder dem Wohlverhalten während des eng überwachten und betreuten Strafvollzugalltags noch der bedingten Entlassung aus dem Strafvollzug eine ausschlaggebende Bedeutung zu (vgl. dazu eingehend BGE 137 II 233 E. 5.2.2 m.H.). Aus spezifisch ausländerrechtlicher Perspektive ist entscheidend, dass die seit Juni 2013 vergangenen gut 3 ½ Jahre zu kurz bemessen sind, als dass unter den gegebenen Umständen davon ausgegangen werden könnte, die beim Beschwerdeführer zuvor bejahte qualifizierte Gefährdung der öffentlichen Sicherheit und Ordnung sei weggefallen. Dies gilt umso mehr, als der Beschwerdeführer sein Verhalten bis zuletzt bagatellisierte und nach wie vor bagatellisiert, vor dem Strafrichter keine Anzeichen für echte Reue und Einsicht in das begangene Unrecht erkennbar waren und über seine Lebensumstände nach der Ausreise im April 2016 nichts Konkretes bekannt ist. Der vom Beschwerdeführer ins Recht gelegte Abschlussbericht des Forensischen Instituts Zentralschweiz vom 21. Dezember 2015 bestätigt diese Einschätzung eher, als dass er sie in Frage stellt. Denn er besteht vor allem aus einer ausführlichen unkritischen Wiedergabe der Vorfälle aus der Sicht des Beschwerdeführers, der darin ein weiteres Mal seinen Tatbeitrag zu minimieren und die Verantwortung nach Möglichkeit an andere Personen abzuschieben versucht.</w:t>
      </w:r>
    </w:p>
    <w:p>
      <w:r>
        <w:rPr>
          <w:b/>
        </w:rPr>
        <w:t>E. 6.6</w:t>
      </w:r>
    </w:p>
    <w:p>
      <w:r>
        <w:t>Als Zwischenergebnis ist festzuhalten, dass im Falle des Beschwerdeführers nicht nur der Fernhaltegrund einer Gefährdung der öffentlichen Sicherheit und Ordnung im Sinne von Art. 67 Abs. 2 Bst. a zweiter Halbsatz AuG vorliegt, der nach Massgabe von Art. 5 Abs. 1 Anhang I FZA grundsätzlich geeignet ist, ein Einreiseverbot gegen eine aus dem FZA berechtigte ausländische Person zu rechtfertigen. Vom Beschwerdeführer geht darüber hinaus auch zum heutigen Zeitpunkt noch eine schwerwiegende Gefahr für die öffentliche Sicherheit und Ordnung im Sinne von Art. 67 Abs. 3 zweiter Satz AuG aus. Das gegen ihn verhängte Einreiseverbot darf daher ohne Verletzung von Art. 67 Abs. 3 erster Satz AuG die Regelmaximaldauer von fünf Jahren übersteigen.</w:t>
      </w:r>
    </w:p>
    <w:p>
      <w:r>
        <w:rPr>
          <w:b/>
        </w:rPr>
        <w:t>E. 7.1</w:t>
      </w:r>
    </w:p>
    <w:p>
      <w:r>
        <w:t>Den Entscheid darüber, ob ein Einreiseverbot anzuordnen und wie es zeitlich auszugestalten ist, legen Art. 67 Abs. 2 und 3 AuG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7.2</w:t>
      </w:r>
    </w:p>
    <w:p>
      <w:r>
        <w:t>Vom Beschwerdeführer geht eine schwerwiegende Gefahr für die öffentliche Sicherheit und Ordnung aus. Darauf wurde unter dem Gesichtspunkt der Eingriffsvoraussetzungen ausführlich eingegangen, sodass an dieser Stelle auf Wiederholungen verzichtet werden kann. Es besteht daher ein erhebliches öffentliches Interesse an einer längerfristigen Fernhaltung des Beschwerdeführers.</w:t>
      </w:r>
    </w:p>
    <w:p>
      <w:r>
        <w:rPr>
          <w:b/>
        </w:rPr>
        <w:t>E. 7.3</w:t>
      </w:r>
    </w:p>
    <w:p>
      <w:r>
        <w:t>Dem öffentlichen Fernhalteinteresse gegenüber beruft sich der Beschwerdeführer einzig auf seine Liebesbeziehung zu der in der Schweiz wohnhaften Schweizer Bürgerin B._______ und erblickt in der Fernhaltemassnahme einen schweren Eingriff in das durch Art. 8 EMRK und Art. 13 BV geschützte Familien- und Privatleben. Seinen Eingaben und dem bei den Akten liegenden Schreiben B._______s (Rek-act. 10 und Beilage 2 zu Rek-act. 15) ist in diesem Zusammenhang zu entnehmen, dass B._______ wegen ihres Innenarchitektur-Studiums an der Hochschule Luzern, das sie die nächsten anderthalb Jahre an die Schweiz binden werde (Stand April 2016), dem Beschwerdeführer nicht nach Deutschland folgen könne und es ihr auch kaum mehr möglich sein werde, ihn dort zu besuchen. Nach Abschluss des Studiums möchte sie in der Schweiz leben und arbeiten. Gleichzeitig sei der Beschwerdeführer der Mann, mit dem sie ihre Zukunft verbringen wolle. Die Aussichten für die Beziehung seien unter den gegebenen Umständen und angesichts der Dauer des Einreiseverbots sehr ungünstig. Der Beschwerdeführer führt weiter aus, dass es für B._______ angesichts der Distanz zwischen den jeweiligen Wohnorten in der Schweiz und Deutschland eine erhebliche Mehrbelastung bedeuten würde, wenn stets nur sie die lange Reise von mehreren Stunden auf sich nehmen müsste. Es sei zur tatsächlichen Pflege dieser Beziehung, die sich nicht nur auf Briefverkehr, Telefonate usw. beschränken könne, zwingend erforderlich, dass auch er, der Beschwerdeführer, gelegentlich in die Schweiz einreisen könne. Der Hinweis der Vorinstanz auf die Möglichkeit, Einreisen in die Schweiz gestützt auf Art. 67 Abs. 5 AuG ausnahmsweise und einzelfallweise zu bewilligen, sei nicht geeignet, den erheblichen Eingriff in seine Interessen auszutarieren. Denn diese Möglichkeit sei höchst beschränkt, bürokratisch und verunmögliche eine adäquate Gestaltung der Beziehung zu seiner Partnerin.</w:t>
      </w:r>
    </w:p>
    <w:p>
      <w:r>
        <w:rPr>
          <w:b/>
        </w:rPr>
        <w:t>E. 7.4</w:t>
      </w:r>
    </w:p>
    <w:p>
      <w:r>
        <w:t>Vorweg ist darauf hinzuweisen, dass private Interessen des Beschwerdeführers, die einen Daueraufenthalt in der Schweiz erfordern, im Rahmen des vorliegenden Verfahrens nicht berücksichtigt werden können. Denn über ein Recht auf Daueraufenthalt verfügt der Beschwerdeführer nach dem rechtskräftigen Widerruf seiner Aufenthaltsbewilligung auch ohne Einreiseverbot nicht. Es kann sich nur die Frage stellen, ob der mit dem Einreiseverbot gegenüber dem rechtlichen Status des Beschwerdeführers nach Verlust seines Aufenthaltsrechts zusätzlich bewirkte Malus einer rechtlichen Prüfung standhält. Dieser Malus besteht, wie der Beschwerdeführer erkennt, nicht in einem absoluten Verbot der Einreise während der Geltungsdauer des Einreiseverbots, sondern in der Notwendigkeit, für gelegentliche Besuche in der Schweiz eine Suspension des Einreiseverbots nach Art. 67 Abs. 5 AuG zu erwirken. Eine solche Suspension kann im Sinne einer Ausnahme auf Gesuch hin für kurze, klar begrenzte Zeit gewährt werden, wenn wichtige Gründe vorliegen (vgl. zum Ganzen BVGE 2014/20 E. 8.3.4 und 2013/4 E. 7.4.1 je m.H.). Die Massnahme hindert den Beschwerdeführer weder an persönlichen Treffen ausserhalb der Schweiz und namentlich in Deutschland, dem Heimatstaat des Beschwerdeführers, noch an der Pflege der Beziehung auf andere Weise als durch persönliche Treffen (z.B. SMS, WhatsApp, Telefonate, Skype, usw.). Schliesslich gilt es zu berücksichtigen, dass der Beschwerdeführer als freizügigkeitsberechtigte Person nach fünf Jahren einen grundsätzlichen Anspruch auf eine materielle Überprüfung der Fernhaltemassnahme hat (vgl. Urteil des BGer 2C_487/2012 vom 2. April 2013 E. 4.5). In diesem Sinne ist die Wirkung des Einreiseverbots auf die Beziehung zwischen dem Beschwerdeführer und B._______ zu relativieren.</w:t>
      </w:r>
    </w:p>
    <w:p>
      <w:r>
        <w:rPr>
          <w:b/>
        </w:rPr>
        <w:t>E. 7.5</w:t>
      </w:r>
    </w:p>
    <w:p>
      <w:r>
        <w:t>Zur Person seiner Partnerin machte der Beschwerdeführer lange Zeit keinerlei konkrete Angaben. Erst nach Eingang der Vernehmlassung der Vorinstanz wurden ihr Name und weitere Details zu ihren Lebensverhältnissen bekannt gegeben. Dem persönlichen Schreiben B._______s und allgemein zugänglichen Quellen kann zur Entwicklung des Verhältnisses zwischen B._______ und dem Beschwerdeführer entnommen werden, dass sie ursprünglich die Freundin des verstorbenen engen Freundes und Mittäters des Beschwerdeführers war (Online-Ausgabe der Basellandschaftlichen Zeitung vom 31.04.2014; &lt; http://www.basellandschaftlichezeitung.ch/basel/basel-stadt/raeuber-kriegt-fast-vier-jahre-fuer-bankueberfall-und-tresordiebstahl-127622511 , abgerufen am 2. Februar 2017). Nach eigener Darstellung in ihrem Schreiben entwickelte sich ihre Beziehung zum Beschwerdeführer erst zu einem Liebesverhältnis, als sich dieser in Untersuchungshaft beziehungsweise im Strafvollzug befand. Im Abschlussbericht des Forensischen Instituts Zentralschweiz vom 21. Dezember 2015 ist diesbezüglich vom September 2014 die Rede. Nach eigener Darstellung versäumte B._______ seither während rund zwei Jahren keinen Besuchstermin und verbrachte nach der Entlassung des Beschwerdeführers aus dem Strafvollzug viel Zeit mit ihm. Des Weiteren ist zu erwähnen, dass gegen B._______ ein paralleles Strafverfahren geführt wurde, weil DNA-Spuren auf einzelnen der beim Raubüberfall benutzten Gerätschaften ihr zugeordnet werden konnten. Dieser Umstand bewog den damaligen und heutigen Rechtsvertreter des Beschwerdeführers, in seiner Berufung an das Appellationsgericht Basel-Stadt B._______ als "faktische Mitbeschuldigte" des Beschwerdeführers zu bezeichnen und entsprechende Konsequenzen für die Verwertbarkeit ihrer Aussagen zu verlangen (vgl. Urteil des Appellationsgerichts Basel-Stadt vom 27.05.2015 E. 1.2.3 und Online-Ausgabe der Basellandschaftlichen Zeitung vom 31.04.2014 a.a.O.).</w:t>
      </w:r>
    </w:p>
    <w:p>
      <w:r>
        <w:rPr>
          <w:b/>
        </w:rPr>
        <w:t>E. 7.6</w:t>
      </w:r>
    </w:p>
    <w:p>
      <w:r>
        <w:t>Bei der Gewichtung des privaten Interesses des Beschwerdeführers ist von Bedeutung, dass sein Verhältnis zu B._______ ganz offensichtlich zu keinem Zeitpunkt ein stabiles eheähnliches Konkubinat bildete. Auch ist keine Rede davon, dass ein Eheschluss unmittelbar bevorstehen würde. Ein landes- bzw. völkerrechtlich geschütztes Familien- oder Privatleben (vgl. Art. 8 EMRK und Art. 13 BV), das dem Beschwerdeführer eine besondere ausländerrechtliche Rechtsstellung vermitteln könnte, liegt mithin nicht vor (vgl. dazu ausführlich Urteil des BGer 2C_702/2011 vom 23. Februar 2012 E. 3 m.H.). Seinen entgegengesetzten Rechtsstandpunkt begründet der Beschwerdeführer denn auch nicht weiter. Ferner ist darauf hinzuweisen, dass sich der Beschwerdeführer und B._______ zum Zeitpunkt der Aufnahme ihrer Beziehung sehr wohl bewusst sein mussten, dass sie diese nach seiner Entlassung aus dem Strafvollzug nicht ungehindert werden in der Schweiz leben können. Des Weiteren trifft es zwar zu, dass die Notwendigkeit von Suspensionen die Pflege der Kontakte auf Schweizer Boden erschwert. Das Bundesverwaltungsgericht teilte dem Beschwerdeführer jedoch bereits mit Zwischenverfügung vom 6. Januar 2016 mit, dass er, sofern ihm tatsächlich so viel an der Beziehung liege, wie er behaupte, es in der Hand habe, die persönlichen Kontakte durch die Wahl eines neuen Wohnsitzes im grenznahen Deutschland wesentlich zu erleichtern. Mit seiner beruflichen Qualifikation sollte ihm ein solcher Schritt durchaus möglich sein. Die Folgen eines Verzichts auf einen solchen Schritt hat der Beschwerdeführer selbst zu verantworten. Schliesslich ist dem Bundesverwaltungsgericht nicht bekannt, dass sich der Beschwerdeführer bisher schon einmal um eine Suspension des Einreiseverbots bemüht hätte. Auch dieser Umstand lässt Rückschlüsse zu auf das tatsächliche Mass der Betroffenheit des Beschwerdeführers.</w:t>
      </w:r>
    </w:p>
    <w:p>
      <w:r>
        <w:rPr>
          <w:b/>
        </w:rPr>
        <w:t>E. 7.7</w:t>
      </w:r>
    </w:p>
    <w:p>
      <w:r>
        <w:t>Eine wertende Gewichtung der sich gegenüberstehenden Interessen der Öffentlichkeit und des Beschwerdeführers führt das Bundesverwaltungsgericht zum Schluss, dass das gegen den Beschwerdeführer erlassene, auf 8 Jahre bemessene Einreiseverbot eine verhältnismässige und angemessene Massnahme zum Schutz der öffentlichen Sicherheit und Ordnung darstellt und daher zu bestätigen ist.</w:t>
      </w:r>
    </w:p>
    <w:p>
      <w:r>
        <w:rPr>
          <w:b/>
        </w:rPr>
        <w:t>E. 8</w:t>
      </w:r>
    </w:p>
    <w:p>
      <w:r>
        <w:t>Aus diesen Erwägungen folgt, dass die angefochtene Verfügung unter dem Gesichtspunkt von Art. 49 VwVG nicht zu beanstanden ist. Die Beschwerde ist daher abzuweisen.</w:t>
      </w:r>
    </w:p>
    <w:p>
      <w:r>
        <w:rPr>
          <w:b/>
        </w:rPr>
        <w:t>E. 9</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