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F-7890/2024 vom 13. März 2025</w:t>
      </w:r>
    </w:p>
    <w:p>
      <w:r>
        <w:t>Bundesverwaltungsgericht, 2025-03-13, DE</w:t>
      </w:r>
    </w:p>
    <w:p>
      <w:r>
        <w:rPr>
          <w:b/>
        </w:rPr>
        <w:t xml:space="preserve">Quelle: </w:t>
      </w:r>
      <w:r>
        <w:t>https://mcp.opencaselaw.ch/entscheid/bvger_F-7890_2024</w:t>
      </w:r>
    </w:p>
    <w:p>
      <w:r>
        <w:t>FR: TAF F-7890/2024 du 13 mars 2025</w:t>
      </w:r>
    </w:p>
    <w:p>
      <w:r>
        <w:t>IT: TAF F-7890/2024 del 13 marzo 2025</w:t>
      </w:r>
    </w:p>
    <w:p>
      <w:pPr>
        <w:pStyle w:val="Heading2"/>
      </w:pPr>
      <w:r>
        <w:t>Regeste</w:t>
      </w:r>
    </w:p>
    <w:p>
      <w:r>
        <w:t>Zuweisung der Asylsuchenden an die Kantone</w:t>
      </w:r>
    </w:p>
    <w:p>
      <w:pPr>
        <w:pStyle w:val="Heading2"/>
      </w:pPr>
      <w:r>
        <w:t>Erwägungen</w:t>
      </w:r>
    </w:p>
    <w:p>
      <w:r>
        <w:rPr>
          <w:b/>
        </w:rPr>
        <w:t>E. 1.1</w:t>
      </w:r>
    </w:p>
    <w:p>
      <w:r>
        <w:t>Verfügungen des SEM betreffend Kantonszuweisung unterliegen der Beschwerde an das Bundesverwaltungsgericht (Art. 105 AsylG i.V.m. Art. 31 ff. VGG [SR 173.32] und i.V.m. Art. 5 VwVG [SR 172.021]). Dieses entscheidet in der vorliegenden Materie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Die Beschwerde wurde frist- und formgerecht ein- gereicht (Art. 108 Abs. 1 AsylG; Art. 52 Abs. 1 VwVG). Auf die Beschwerde ist einzutreten.</w:t>
      </w:r>
    </w:p>
    <w:p>
      <w:r>
        <w:t>F-7890/2024 Seite 3</w:t>
      </w:r>
    </w:p>
    <w:p>
      <w:r>
        <w:rPr>
          <w:b/>
        </w:rPr>
        <w:t>E. 1.4</w:t>
      </w:r>
    </w:p>
    <w:p>
      <w:r>
        <w:t>Die Beschwerde erweist sich – wie im Folgenden zu zeigen sein wird – als offensichtlich begründet, weshalb sie im Verfahren einzelrichterlicher Zuständigkeit mit Zustimmung einer zweiten Richterin respektive eines zweiten Richters, ohne Durchführung eines Schriftenwechsels und mit summarischer Begründung zu behandeln ist (Art. 111 Bst. e AsylG, Art. 111a Abs. 1 und 2 AsylG).</w:t>
      </w:r>
    </w:p>
    <w:p>
      <w:r>
        <w:rPr>
          <w:b/>
        </w:rPr>
        <w:t>E. 2.1</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AsylG; BVGE 2012/2 E. 3.2.2). Art. 26 FK zielt darauf ab, die Einschrän- kungen der freien Wahl des Aufenthaltsortes und der Bewegungsfreiheit für Flüchtlinge auf ein Minimum zu beschränken. Zulässig sind nur ein- schränkende Bestimmungen, die für sämtliche Kategorien von ausländi- schen Personen gelten. Abzustellen ist auf diejenigen Einschränkungen, die auf ausländische Personen mit einer Niederlassungsbewilligung an- wendbar sind. Nach konstanter Rechtsprechung begründet Art. 26 FK für Flüchtlinge daher einen Anspruch auf Kantonszuweisung beziehungs- weise -wechsel in gleichem Umfange, wie er einer niedergelassenen Per- son gestützt auf Art. 37 Abs. 3 AIG zustünde (vgl. BVGE 2012/2 E. 5.2.2; Urteile des BVGer F-270/2025 vom 23. Januar 2025 E. 2.2; F-7070/2024 vom 26. November 2024 E. 2.2; F-1642/2024 vom 16. Mai 2024 E. 3.1; F-724/2020 vom 30. September 2022 E. 4.2.1; F-6485/2020 vom 10. Au- gust 2022 E. 3.2; SEM, Handbuch Asyl und Rückkehr, Artikel F6, Die Ge- suche um Kantonswechsel, Ziff. 2.3, S. 9 ff., &lt; www.sem.ad- min.ch/sem/de/home/asyl/asylverfahren/nationaleverfahren/handbuch- asyl-rueckkehr.html &gt;, abgerufen am 10.02.2024; CONSTANTIN HRUSCHKA,</w:t>
      </w:r>
    </w:p>
    <w:p>
      <w:r>
        <w:t>F-7890/2024 Seite 4 in: Marc Spescha et al. [Hrsg.], OFK Migrationsrecht, 5. Aufl. 2019, Art. 27 AsylG N. 7; WALTER STÖCKLI, Flüchtlinge und Schutzbedürftige, in: Peter Uebersax et al. [Hrsg.], Handbuch Ausländerrecht, 3. Aufl. 2022, Rz. 14.100 f. und Rz. 14.141; Schweizerische Flüchtlingshilfe SFH [Hrsg.], Handbuch zum Asyl- und Wegweisungsverfahren, 3. Aufl. 2021, S. 489). Für eine Änderung der Rechtsprechung (siehe zu den Voraussetzungen hierfür BGE 147 V 342 E. 5.5.1 m.w.H.) besteht keine Veranlassung (zur Kritik siehe immerhin PETER UEBERSAX/STEFAN SCHLEGEL, Einreise und Anwesenheit, Handbuch Ausländerrecht, Rz. 9.434; Botschaft zur Ände- rung des Ausländer- und Integrationsgesetzes [Einschränkungen für Rei- sen ins Ausland und Anpassungen des Status der vorläufigen Aufnahme] vom 26. August 2020, in: BBl 2020 7457, 7470 und 7499; Art. 85b Abs. 5 AIG; siehe zum Ganzen auch Urteile des BVGer F-4282/2024 vom 12. Juli 2024 E. 2.2; F-1642/2024 vom 16. Mai 2024 E. 3.1).</w:t>
      </w:r>
    </w:p>
    <w:p>
      <w:r>
        <w:rPr>
          <w:b/>
        </w:rPr>
        <w:t>E. 2.3</w:t>
      </w:r>
    </w:p>
    <w:p>
      <w:r>
        <w:t>Nachdem ihr die Vorinstanz die Flüchtlingseigenschaft zuerkannt hat, hat die Beschwerdeführerin grundsätzlich Anspruch auf freie Wahl des Auf- enthaltsortes und Zuweisung in den von ihr beantragten Kanton. Vorbehal- ten bleibt das Vorliegen von Widerrufsgründen nach Art. 63 AIG (vgl. Art. 37 Abs. 3 AIG i.V.m. Art. 58 AsylG, Art. 6 und 26 FK; E. 2.2 hiervor; ferner Urteil F-724/2020 E. 4.3). Die Vorinstanz hat es aber unterlassen, sich mit der Rechtstellung der Beschwerdeführerin als Flüchtling und ihrem daraus folgenden grundsätzlichen Anspruch auf Wahl des Kantons, in dem sie ih- ren Aufenthaltsort begründen möchte, auseinanderzusetzen. Damit hat sie in ihrer Begründung einen wesentlichen Aspekt ausser Acht gelassen, was einer Verletzung des rechtlichen Gehörs gleichkommt (Art. 29 Abs. 2 BV; Art. 35 VwVG; vgl. BGE 149 V 156 E. 6.1). Zudem hat sie sich nicht mit der Frage auseinandergesetzt, ob einer Zuweisung der Beschwerdeführerin an den Kanton Bern Widerrufsgründe im Sinn von Art. 63 AIG entgegenstehen könnten. Auch in diesem Punkt erweist sich der Sachverhalt als unvollstän- dig abgeklärt und der Untersuchungsgrundsatz als verletzt (Art. 6 AsylG i.V.m. Art. 12 VwVG; Art. 49 Bst. b VwVG).</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Im Weiteren kann die</w:t>
      </w:r>
    </w:p>
    <w:p>
      <w:r>
        <w:t>F-7890/2024 Seite 5 Beschwerdeführerin nicht auf die nachträgliche Stellung eines Kantons- wechselgesuchs verwiesen werden, denn entweder kann sie gestützt auf Art. 26 FK ihren Aufenthaltsort wählen, oder nicht (vgl. E. 2.2 hiervor sowie Art. 60 Abs. 1 AsylG). Dispositivziffer 3 der angefochtenen Verfügung vom 10. Dezember 2024 ist deshalb aufzuheben und die Sache zur vollständi- gen und richtigen Sachverhaltsabklärung im Sinn der Erwägungen sowie zu neuer Entscheidung an die Vorinstanz zurückzuweisen. Diese wird ins- besondere abzuklären haben, ob einer Zuweisung der Beschwerdeführerin in den Kanton Bern Widerrufsgründe im Sinn von Art. 63 AIG entgegenste- hen können. Erforderlichenfalls wird sie den betroffenen Aufenthalts- und Zuzugskanton zu einer Stellungnahme betreffend Widerrufsgründe auffor- dern (vgl. auch SEM, Handbuch Asyl und Rückkehr, Artikel F6, Die Gesu- che um Kantonswechsel, Ziff. 2.3.4, S. 10 f.).</w:t>
      </w:r>
    </w:p>
    <w:p>
      <w:r>
        <w:rPr>
          <w:b/>
        </w:rPr>
        <w:t>E. 3</w:t>
      </w:r>
    </w:p>
    <w:p>
      <w:r>
        <w:t>Die Beschwerde ist somit gutzuheissen. Dispositivziffer 3 der Verfügung vom 10. Dezember 2024 ist aufzuheben und die Sache zur vollständigen und richtigen Sachverhaltsabklärung im Sinn der Erwägungen sowie zur neuen Entscheidung an die Vorinstanz zurückzuweisen.</w:t>
      </w:r>
    </w:p>
    <w:p>
      <w:r>
        <w:rPr>
          <w:b/>
        </w:rPr>
        <w:t>E. 4.1</w:t>
      </w:r>
    </w:p>
    <w:p>
      <w:r>
        <w:t>Entsprechend dem Verfahrensausgang sind keine Kosten zu erheben (Art. 63 Abs. 1 und 2 VwVG). Das Gesuch um Gewährung der unentgeltli- chen Prozessführung (Art. 65 Abs. 1 VwVG) ist gegenstandslos geworden.</w:t>
      </w:r>
    </w:p>
    <w:p>
      <w:r>
        <w:rPr>
          <w:b/>
        </w:rPr>
        <w:t>E. 4.2</w:t>
      </w:r>
    </w:p>
    <w:p>
      <w:r>
        <w:t>Eine Parteientschädigung ist nicht auszurichten, da es sich vorliegend um eine zugewiesene unentgeltliche Rechtsvertretung im Sinn von Art. 102h AsylG handelt, deren Leistungen vom Bund nach Massgabe von Art. 102k AsylG entschädigt werden (vgl. auch Art. 111ater AsylG).</w:t>
      </w:r>
    </w:p>
    <w:p>
      <w:r>
        <w:t>(Dispositiv: nächste Seite)</w:t>
      </w:r>
    </w:p>
    <w:p>
      <w:r>
        <w:t>F-7890/2024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