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F-7821/2025 vom 11. Mai 2026</w:t>
      </w:r>
    </w:p>
    <w:p>
      <w:r>
        <w:t>Bundesverwaltungsgericht, 2026-05-11, IT</w:t>
      </w:r>
    </w:p>
    <w:p>
      <w:r>
        <w:rPr>
          <w:b/>
        </w:rPr>
        <w:t xml:space="preserve">Quelle: </w:t>
      </w:r>
      <w:r>
        <w:t>https://mcp.opencaselaw.ch/entscheid/bvger_F-7821_2025</w:t>
      </w:r>
    </w:p>
    <w:p>
      <w:r>
        <w:t>FR: TAF F-7821/2025 du 11 mai 2026</w:t>
      </w:r>
    </w:p>
    <w:p>
      <w:r>
        <w:t>IT: TAF F-7821/2025 del 11 maggio 2026</w:t>
      </w:r>
    </w:p>
    <w:p>
      <w:pPr>
        <w:pStyle w:val="Heading2"/>
      </w:pPr>
      <w:r>
        <w:t>Regeste</w:t>
      </w:r>
    </w:p>
    <w:p>
      <w:r>
        <w:t>Visto Schengen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In conclusione, la SEM, con la sua decisione del 18 settembre 2025, non ha né violato la normativa Schengen e il diritto federale, né constatato i fatti giuridicamente rilevanti in modo inesatto o incompleto; inoltre, tale decisione non risulta essere inadeguata (art. 49 PA). Pertanto, il ricorso deve essere respinto e la decisione su opposizione confermata.</w:t>
      </w:r>
    </w:p>
    <w:p>
      <w:r>
        <w:rPr>
          <w:b/>
        </w:rPr>
        <w:t>E. 9</w:t>
      </w:r>
    </w:p>
    <w:p>
      <w:r>
        <w:t>Considerato l'esito negativo del ricorso, le spese processuali di fr. 1'000.- sono poste a carico della ricorrente (cfr. art. 63 cpv. 1 PA in relazione con gli art. 1 a 3 del regolamento sulle tasse e sulle spese ripetibili nelle cause dinanzi al Tribunale amministrativo federale del 21 febbraio 2008 [TS-TAF, RS 173.320.2]) e sono prelevate sull'anticipo, dello stesso importo, versato il 10 novembre 2025. (dispositivo alla pagina seguente)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