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F-7799/2024 vom 16. Dezember 2024</w:t>
      </w:r>
    </w:p>
    <w:p>
      <w:r>
        <w:t>Bundesverwaltungsgericht, 2024-12-16, DE</w:t>
      </w:r>
    </w:p>
    <w:p>
      <w:r>
        <w:rPr>
          <w:b/>
        </w:rPr>
        <w:t xml:space="preserve">Quelle: </w:t>
      </w:r>
      <w:r>
        <w:t>https://mcp.opencaselaw.ch/entscheid/bvger_F-7799_2024</w:t>
      </w:r>
    </w:p>
    <w:p>
      <w:r>
        <w:t>FR: TAF F-7799/2024 du 16 décembre 2024</w:t>
      </w:r>
    </w:p>
    <w:p>
      <w:r>
        <w:t>IT: TAF F-7799/2024 del 16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b Dublin-III-VO grundsätzlich Bulgarien für die Durchführung des Asyl- und Wegweisungsverfahrens des Beschwerdeführers zuständig ist, dass das bulgarische Asylsystem rechtsprechungsgemäss keine systemischen Mängel aufweist, aufgrund derer die Zuständigkeit gemäss Art. 3 Abs. 2 Dublin-III-VO auf die Schweiz überginge, dass kein besonderes Abhängigkeitsverhältnis zwischen dem Beschwerdeführer und seinen zwei minderjährigen Neffen anzunehmen ist, und dass vorliegend keine völkerrechtlichen Vollzugshindernisse ersichtlich sind, welche die Schweiz zu einem Selbsteintritt nach Art. 17 Abs. 1 Dublin-III-VO verpflichten würden. Dabei hat sie namentlich die Vorbringen des Beschwerdeführers im Hinblick auf seinen dokumentierten Gesundheitszustand sowie die schlechten Lebensumstände in Bulgarien berücksichtigt und rechtsprechungskonform gewürdigt. Mit der Vorinstanz ist davon auszugehen, dass der Beschwerdeführer bei einer Überstellung keinen gravierenden Menschenrechtsverletzungen im Sinne von Art. 3 EMRK ausgesetzt oder unter Verletzung des Non-Refoulement-Gebots in seinen Heimatsstaat überstellt würde, und dass keine konkreten Hinweise dafür vorliegen, dass er bei einer Rückkehr nach Bulgarien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seine Rückenschmerzen in den Überstellungsmodalitäten vom 2. Dezember 2024 aufgeführt und insbesondere berücksichtigt, dass dem Beschwerdeführer in Bulgarien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Bulgarien angeordnet. Zur näheren Begründung wird auf die korrekten vorinstanzlichen Erwägungen verwiesen.</w:t>
      </w:r>
    </w:p>
    <w:p>
      <w:r>
        <w:rPr>
          <w:b/>
        </w:rPr>
        <w:t>E. 2.2</w:t>
      </w:r>
    </w:p>
    <w:p>
      <w:r>
        <w:t>Dass der Beschwerdeführer auf Rechtsmittelebene unsubstantiiert vorbringt, in Bulgarien gebe es kein funktionierendes System, er sei einen Monat im Gefängnis festgehalten, misshandelt und gefoltert worden und die Lebensqualität, insbesondere das Essen und die medizinische Versorgung, seien schlecht, vermag an der Richtigkeit der vorinstanzlichen Verfügung nichts zu ändern. Mangels systemischer Mängel im Sinne von Art. 3 Abs. 2 Dublin-III-VO kann davon ausgegangen werden, dass Bulgarien seinen völker- und gemeinschaftsrechtlichen Verpflichtungen gegenüber Personen in der Situation des Beschwerdeführers nachkommt und insbesondere auch die Rechte respektiert und schützt, die sich aus der sogenannten Verfahrens- und Aufnahmerichtlinie ergeben (Urteile des BVGer F-5523/2023 vom 31. Oktober 2023 E. 5.4; D-4686/2022 vom 24. Oktober 2022 E. 10.2; F-7195/2018 vom 11. Februar 2020 E. 6.6.1 ff.). Ein besonderes Abhängigkeitsverhältnis im Sinne der Rechtsprechung zu Art. 8 EMRK zwischen dem Beschwerdeführer und seinen zwei Neffen ist sodann mit den unsubstantiierten diesbezüglichen Beschwerdevorbringen nicht rechtsgenügend dargetan und auch sonst nicht ersichtlich. Vielmehr sprechen die von der Vorinstanz referenzierten Angaben des älteren der beiden Neffen, der den Beschwerdeführer bei seiner Erstbefragung nicht erwähnte, klar gegen ein solches Verhältnis. Die Neffen des Beschwerdeführers gelten nicht als Familienangehörige im Sinne von Art. 2 Bst. g Dublin-III-VO. Die dokumentierten gesundheitlichen Beschwerden des Beschwerdeführers führen nicht zur Annahme, eine Rückweisung verstosse gegen Art. 3 EMRK und sind auch nicht geeignet, eine besondere Vulnerabilität zu begründen, aufgrund derer das Einholen individueller Garantien der bulgarischen Behörden angezeigt wäre (vgl. Referenzurteil des BVGer F-7195/2018 vom 11. Februar 2020).</w:t>
      </w:r>
    </w:p>
    <w:p>
      <w:r>
        <w:rPr>
          <w:b/>
        </w:rPr>
        <w:t>E. 3</w:t>
      </w:r>
    </w:p>
    <w:p>
      <w:r>
        <w:t>Aus den vorstehenden Erwägungen ergibt sich, dass die angefochtene Verfügung vom 2. Dezember 2024 nicht zu beanstanden und die Beschwerde vollumfänglich abzuweisen ist.</w:t>
      </w:r>
    </w:p>
    <w:p>
      <w:r>
        <w:rPr>
          <w:b/>
        </w:rPr>
        <w:t>E. 4</w:t>
      </w:r>
    </w:p>
    <w:p>
      <w:r>
        <w:t>Mit vorliegendem Urteil fällt der am 13. Dezember 2024 angeordnete Vollzugsstopp dahin.</w:t>
      </w:r>
    </w:p>
    <w:p>
      <w:r>
        <w:rPr>
          <w:b/>
        </w:rPr>
        <w:t>E. 5</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