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F-7767/2024 vom 6. Januar 2025</w:t>
      </w:r>
    </w:p>
    <w:p>
      <w:r>
        <w:t>Bundesverwaltungsgericht, 2025-01-06, DE</w:t>
      </w:r>
    </w:p>
    <w:p>
      <w:r>
        <w:rPr>
          <w:b/>
        </w:rPr>
        <w:t xml:space="preserve">Quelle: </w:t>
      </w:r>
      <w:r>
        <w:t>https://mcp.opencaselaw.ch/entscheid/bvger_F-7767_2024</w:t>
      </w:r>
    </w:p>
    <w:p>
      <w:r>
        <w:t>FR: TAF F-7767/2024 du 6 janvier 2025</w:t>
      </w:r>
    </w:p>
    <w:p>
      <w:r>
        <w:t>IT: TAF F-7767/2024 del 6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Bei der angefochtenen Verfügung handelt es sich einerseits um einen Nichteintretens- und Wegweisungsentscheid (Ziffern 1-3 des Dispositivs) und andererseits um einen Entscheid darüber, welches Geburtsdatum im ZEMIS einzutragen ist (Ziffer 6 des Dispositivs). Das Hauptrechtsbegehren lautet auf vollständige Aufhebung der Verfügung der Vorinstanz vom 2. Dezember 2023 (recte: 2024). Der ZEMIS-Eintrag (Ziffer 6 des Dispositivs) wird indessen nicht explizit angefochten. In der Beschwerdeschrift wird zur Thematik der Minderjährigkeit zwar Folgendes ausgeführt: «Der Beschwerdeführer behauptet minderjährig zu sein. Er sieht auch minderjährig aus. Die Knochenanalyse ergab aber die Mindestalter von 19 Jahren.» Diese Vorbringen beziehen sich nicht spezifisch auf die Altersanpassung, weshalb daraus nicht abgeleitet werden kann, der Beschwerdeführer habe Ziffer 6 des Dispositivs anfechten wollen. Das Hauptrechtsbegehren ist demnach so zu verstehen, dass mit der Beschwerde nur der Nichteintretens- und Wegweisungsentscheid angefochten wird.</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Gemäss dem Gutachten zur Altersschätzung vom 7. November 2024 des Instituts für Rechtsmedizin der Universität Bern ist anhand der Computertomographie der Sternoklavikulargelenke von einem Mindestalter des Beschwerdeführers von 19 Jahren auszugehen. Aufgrund des Ergebnisses des Altersgutachtens, welches die Minderjährigkeit des Beschwerdeführers ausschliesst, ist dieser nicht vom Wiederaufnahmeverfahren ausgenommen (vgl. Filzwieser/Sprung, Dublin-III-VO, Wien 2014, Kap. 15 f. zu Art. 8). Der Beschwerdeführer vermag seine Minderjährigkeit auch auf Beschwerdeebene nicht glaubhaft darzutun.</w:t>
      </w:r>
    </w:p>
    <w:p>
      <w:r>
        <w:rPr>
          <w:b/>
        </w:rPr>
        <w:t>E. 2.2</w:t>
      </w:r>
    </w:p>
    <w:p>
      <w:r>
        <w:t>Die Vorinstanz hat korrekt erwogen, dass gemäss den Bestimmungen der Dublin-III-VO grundsätzlich Lettland für die Behandlung des Asylgesuchs des Beschwerdeführers zuständig ist, dass das lettländische Asylsystem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den dokumentierten Gesundheitszustand des Beschwerdeführers (posttraumatische Belastungsstörung und eine mittelgradige depressive Episode) berücksichtigt, diesen rechtsprechungskonform gewürdigt und dabei richtigerweise berücksichtigt, dass dem Beschwerdeführer in Lettland der Zugang zu medizinischer und psychiatrischer Behandlung offensteht. Die Vorinstanz ist demnach zu Recht in Anwendung von Art. 31a Abs. 1 Bst. b AsylG auf das Asylgesuch des Beschwerdeführers nicht eingetreten und hat in Anwendung von Art. 44 AsylG dessen Wegweisung nach Lettland angeordnet. Zur näheren Begründung wird auf die vorinstanzlichen Erwägungen verwiesen.</w:t>
      </w:r>
    </w:p>
    <w:p>
      <w:r>
        <w:rPr>
          <w:b/>
        </w:rPr>
        <w:t>E. 2.3</w:t>
      </w:r>
    </w:p>
    <w:p>
      <w:r>
        <w:t>Auch dem Eventualantrag des Beschwerdeführers auf Kassation ist nicht stattzugeben. Weder legt der Beschwerdeführer dar, wieso eine solche zu erfolgen habe, noch ist ein Grund dafür ersichtlich.</w:t>
      </w:r>
    </w:p>
    <w:p>
      <w:r>
        <w:rPr>
          <w:b/>
        </w:rPr>
        <w:t>E. 3</w:t>
      </w:r>
    </w:p>
    <w:p>
      <w:r>
        <w:t>Nach dem Gesagten ist die angefochtene Verfügung nicht zu beanstanden und die Beschwerde ist abzuweisen.</w:t>
      </w:r>
    </w:p>
    <w:p>
      <w:r>
        <w:rPr>
          <w:b/>
        </w:rPr>
        <w:t>E. 4</w:t>
      </w:r>
    </w:p>
    <w:p>
      <w:r>
        <w:t>Mit vorliegendem Urteil fällt der am 12. Dezember 2024 angeordnete Vollzugsstopp dahin.</w:t>
      </w:r>
    </w:p>
    <w:p>
      <w:r>
        <w:rPr>
          <w:b/>
        </w:rPr>
        <w:t>E. 5.1</w:t>
      </w:r>
    </w:p>
    <w:p>
      <w:r>
        <w:t>Die Begehren erweisen sich als aussichtslos, weshalb das Gesuch um unentgeltliche Prozessführung (Art. 65 Abs. 1 VwVG) abzuweisen ist.</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