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F-7716/2015 vom 22. Mai 2017</w:t>
      </w:r>
    </w:p>
    <w:p>
      <w:r>
        <w:t>Bundesverwaltungsgericht, 2017-05-22, FR</w:t>
      </w:r>
    </w:p>
    <w:p>
      <w:r>
        <w:rPr>
          <w:b/>
        </w:rPr>
        <w:t xml:space="preserve">Quelle: </w:t>
      </w:r>
      <w:r>
        <w:t>https://mcp.opencaselaw.ch/entscheid/bvger_F-7716_2015</w:t>
      </w:r>
    </w:p>
    <w:p>
      <w:r>
        <w:t>FR: TAF F-7716/2015 du 22 mai 2017</w:t>
      </w:r>
    </w:p>
    <w:p>
      <w:r>
        <w:t>IT: TAF F-7716/2015 del 22 maggio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(cf. supra let. C dernier tiret),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w:t>
      </w:r>
    </w:p>
    <w:p>
      <w:r>
        <w:rPr>
          <w:b/>
        </w:rPr>
        <w:t>E. 3.3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 du Tribunal administratif fédéral C-847/2013 du 21 mars 2014 consid. 5.3.3, avec jurispr. cit.). Il sied également de rappeler, en lien avec la condamnation du 24 avril 2008 pour vente de marijuana notamment,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p. 222, ATF 125 II 521 consid. 4a/aa p. 526s.; cf. également l'arrêt du Tribunal fédéral 2C_351/ 2008 du 22 octobre 2008 consid. 2.3).</w:t>
      </w:r>
    </w:p>
    <w:p>
      <w:r>
        <w:rPr>
          <w:b/>
        </w:rPr>
        <w:t>E. 3.5</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4</w:t>
      </w:r>
    </w:p>
    <w:p>
      <w:r>
        <w:t>Cela étant, il sied de préciser que, contrairement à ce que semble croire le recourant, l'admission d'un droit dérivé à la libre circulation suppose que la personne qui en dispose à titre originaire ait elle-même fait usage des libertés garanties par l'ALCP (cf. à ce sujet arrêt du Tribunal administratif fédéral C-3189/2015 du 10 février 2016 consid. 6.1.1, 6.1.2 et 6.2 confirmé par l'arrêt du Tribunal fédéral 2C_284/2016 du 20 janvier 2017 consid. 3.8.2 et 3.9). Pour que naisse un droit dérivé en sa faveur, il aurait donc fallu que sa femme, qui est une ressortissante binationale suisse et italienne, exerce son droit à la libre circulation en dehors des Etats dont elle possède la nationalité, soit en dehors de l'Italie et de la Suisse. Dès lors que l'intéressé n'est pas au bénéfice de l'ALCP, son argument principal selon lequel son épouse C._______ aurait son centre de vie en Suisse ne saurait convaincre. A ce sujet, force est de constater qu'il vit depuis son renvoi de Suisse en 2014 en Italie avec sa conjointe et que l'interdiction d'entrée querellée ne constitue pas un obstacle à sa vie de couple puisqu'il entretient une relation conjugale avec son épouse depuis près de deux ans et demi en Italie. On rappellera également qu'il avait rempli un formulaire le 1er novembre 2015 dans lequel il avait indiqué qu'à sa sortie de prison, il souhaitait retourner vivre avec sa femme en Italie (cf. décision de libération conditionnelle du 5 janvier 2016). De surcroît, le fait que C._______ doive se rendre en Suisse afin de s'occuper des affaires de sa famille et pour se recueillir sur la tombe de ses proches n'est pas déterminant. Sur ce point, on relèvera qu'aucune preuve étayant lesdites déclarations n'a été versée en cause et que même si ces informations étaient avérées, C._______ pourrait continuer à remplir ses obligations familiales sans être accompagnée de son conjoint, du moins jusqu'à ce que les effets de l'interdiction d'entrée du 2 décembre 2014 prennent fin.</w:t>
      </w:r>
    </w:p>
    <w:p>
      <w:r>
        <w:rPr>
          <w:b/>
        </w:rPr>
        <w:t>E. 5.1</w:t>
      </w:r>
    </w:p>
    <w:p>
      <w:r>
        <w:t>En l'occurrence, l'autorité inférieure a prononcé le 22 juillet 2009 une première interdiction d'entrée de cinq ans à l'encontre de A._______ en raison des deux condamnations pénales dont il a fait l'objet les 29 juin 2007 et 24 avril 2008 (cf. pce 4 SEM p. 67 s.).</w:t>
      </w:r>
    </w:p>
    <w:p>
      <w:r>
        <w:rPr>
          <w:b/>
        </w:rPr>
        <w:t>E. 5.2</w:t>
      </w:r>
    </w:p>
    <w:p>
      <w:r>
        <w:t>Par décision du 2 décembre 2014, l'autorité inférieure a prononcé une seconde interdiction d'entrée à l'encontre du prénommé suite à sa condamnation du 15 janvier 2014 à une peine privative de liberté de cinq mois pour séjour illégal et aux cinq autres jugements pénaux prononcés à son égard entre le 29 juin 2007 et le 15 janvier 2014 par le Ministère public à Genève pour divers motifs, à savoir voies de fait, injure, menaces, délit contre la LStup et séjour illégal (cf. supra let. C). Elle a considéré qu'une telle mesure d'éloignement s'imposait en raison de la gravité des infractions commises par le prénommé durant sa présence sur territoire helvétique et de la mise en danger de la sécurité et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pour la sécurité et l'ordre publics autorisant le prononcé d'une mesure d'éloignement de cinq ans, au sens de l'art. 67 al. 3 1ère phrase LEtr.</w:t>
      </w:r>
    </w:p>
    <w:p>
      <w:r>
        <w:rPr>
          <w:b/>
        </w:rPr>
        <w:t>E. 5.3</w:t>
      </w:r>
    </w:p>
    <w:p>
      <w:r>
        <w:t>L'examen du dossier montre que le comportement du prénommé durant sa présence sur le territoire helvétique a donné lieu à six condamnations pénales, la plupart liées à des infractions à la LStup et à la LEtr, dont notamment à une peine privative de liberté de cinq mois (cf. supra consid. C), l'intéressé s'étant rendu coupable de séjour illégal entre le 28 décembre 2013 et le 14 janvier 2014. Il sied également de relever que la première interdiction d'entrée de cinq ans prononcée à l'encontre du recourant le 22 juillet 2009 ne lui a pas fait prendre conscience de ses erreurs passées. En effet, on constatera que suite à la mesure d'éloignement précitée, le recourant a fait l'objet de quatre autres condamnations pénales, étant précisé qu'il avait admis, en date du 14 mars 2010, avoir pris connaissance de la première interdiction d'entrée à son encontre (cf. ses propos contradictoires lors de l'audition du 20 juin 2013 p. 3).</w:t>
      </w:r>
    </w:p>
    <w:p>
      <w:r>
        <w:rPr>
          <w:b/>
        </w:rPr>
        <w:t>E. 5.4</w:t>
      </w:r>
    </w:p>
    <w:p>
      <w:r>
        <w:t>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2 décembre 2014 est-elle manifestement justifiée dans son principe.</w:t>
      </w:r>
    </w:p>
    <w:p>
      <w:r>
        <w:rPr>
          <w:b/>
        </w:rPr>
        <w:t>E. 5.5</w:t>
      </w:r>
    </w:p>
    <w:p>
      <w:r>
        <w:t>Il sied encore d'examiner si la mesure d'éloignement querellée satisfait notamment aux principes de la proportionnalité et d'égalité de traitement.</w:t>
      </w:r>
    </w:p>
    <w:p>
      <w:r>
        <w:rPr>
          <w:b/>
        </w:rPr>
        <w:t>E. 5.6</w:t>
      </w:r>
    </w:p>
    <w:p>
      <w:r>
        <w:t>Concernant les deux règles susmentionnées (cf. à ce sujet, Thierry Tanquerel, Manuel de droit administratif, Genève/Zurich/Bâle 2011, p. 187ss, p. 199ss et p. 204ss et Pierre Moor et al., Droit administratif, vol I, Berne 2012, p. 808ss, p. 838ss et p. 891ss ; cf. également ATF 136 IV consid. 5.2.2. et ATF 133 I 110 consid. 7.1 et la jurisprudence citée), il est indéniable que l'éloignement de l'intéressé du territoire suisse est apte et nécessaire à atteindre les buts visés, à savoir protéger l'ordre et la sécurité publics (cf. supra consid. 5.1 à 5.4).</w:t>
      </w:r>
    </w:p>
    <w:p>
      <w:r>
        <w:rPr>
          <w:b/>
        </w:rPr>
        <w:t>E. 5.7</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5.8</w:t>
      </w:r>
    </w:p>
    <w:p>
      <w:r>
        <w:t>Préalablement, il convient de relever que l'impossibilité pour le recourant de résider durablement en Suisse ne résulte pas de la mesure d'éloignement litigieuse, mais découle du fait qu'il n'est pas titulaire d'un titre de séjour dans ce pays, sa précédente autorisation de séjour étant échue depuis le 16 juin 2007.</w:t>
      </w:r>
    </w:p>
    <w:p>
      <w:r>
        <w:rPr>
          <w:b/>
        </w:rPr>
        <w:t>E. 5.9</w:t>
      </w:r>
    </w:p>
    <w:p>
      <w:r>
        <w:t>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l'intéressé a passé la majeure partie de son existence dans son pays d'origine (cf. pce SEM 3 p. 32) et n'a séjourné en Suisse que depuis 2005, étant précisé que sa dernière autorisation est échue depuis le mois de juin 2007 (cf. pce SEM 3 p. 10). Or, lors de son séjour en Suisse, il a commis de nombreuses infractions qui lui ont valu six condamnations, de sorte que l'on ne saurait considérer son intégration comme satisfaisante (cf. supra consid. 5.1 et 5.2).</w:t>
      </w:r>
    </w:p>
    <w:p>
      <w:r>
        <w:rPr>
          <w:b/>
        </w:rPr>
        <w:t>E. 5.10</w:t>
      </w:r>
    </w:p>
    <w:p>
      <w:r>
        <w:t>En conséquence, après une pondération des intérêts publics et privés en présence et au regard de l'ensemble des circonstances, en particulier de l'activité délictuelle déployée par le recourant en Suisse et de l'importance du risque de récidive que laisse redouter son passé judiciaire, le Tribunal estime que la durée de l'interdiction d'entrée prononcée le 2 décembre 2014 pour une durée de cinq ans est conforme au principe de la proportionnalité. Le Tribunal constate enfin que c'est à juste titre que l'autorité inférieure a limité la portée de l'interdiction d'entrée au seul territoire suisse, dès lors que le recourant réside en Italie avec son épouse depuis 2014 (cf. supra consid. 4).</w:t>
      </w:r>
    </w:p>
    <w:p>
      <w:r>
        <w:rPr>
          <w:b/>
        </w:rPr>
        <w:t>E. 6</w:t>
      </w:r>
    </w:p>
    <w:p>
      <w:r>
        <w:t>Il ressort de ce qui précède que, par sa décision du 2 décembre 2014, l'autorité intimée n'a ni violé le droit fédéral, ni constaté des faits pertinents de manière inexacte ou incomplète ;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n'ayant pas eu gain de cause, il ne lui est pas alloué de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