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F-770/2020 vom 12. Juli 2021</w:t>
      </w:r>
    </w:p>
    <w:p>
      <w:r>
        <w:t>Bundesverwaltungsgericht, 2021-07-12, FR</w:t>
      </w:r>
    </w:p>
    <w:p>
      <w:r>
        <w:rPr>
          <w:b/>
        </w:rPr>
        <w:t xml:space="preserve">Quelle: </w:t>
      </w:r>
      <w:r>
        <w:t>https://mcp.opencaselaw.ch/entscheid/bvger_F-770_2020</w:t>
      </w:r>
    </w:p>
    <w:p>
      <w:r>
        <w:t>FR: TAF F-770/2020 du 12 juillet 2021</w:t>
      </w:r>
    </w:p>
    <w:p>
      <w:r>
        <w:t>IT: TAF F-770/2020 del 12 luglio 2021</w:t>
      </w:r>
    </w:p>
    <w:p>
      <w:pPr>
        <w:pStyle w:val="Heading2"/>
      </w:pPr>
      <w:r>
        <w:t>Regeste</w:t>
      </w:r>
    </w:p>
    <w:p>
      <w:r>
        <w:t>Interdiction d'entrée</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 En particulier, les décisions d'interdiction d'entrée en Suisse prononcées par le SEM - lequel constitue une unité de l'administration fédérale telle que définie à l'art. 33 let. d LTAF - sont susceptibles de recours au Tribunal, qui statue définitivement (art. 1 al. 2 LTAF en relation avec l'art. 83 let. c ch. 1 LTF [173.110]), réserve faite de l'hypothèse où l'interdiction d'entrée vise un ressortissant d'un Etat membre de l'UE (cf. art. 11 par. 1 et 3 ALCP [RS 0.142.112.681]) ou un membre de la famille (art. 3 par. 2 Annexe I ALCP) pouvant, le cas échéant, se prévaloir de l'ALCP, hypothèse non remplie in casu (cf., parmi d'autres, arrêts du TAF F-5721/2017 du 9 mars 2018 consid. 4 et F-7716/2015 du 22 mai 2017 consid. 4).</w:t>
      </w:r>
    </w:p>
    <w:p>
      <w:r>
        <w:rPr>
          <w:b/>
        </w:rPr>
        <w:t>E. 1.2</w:t>
      </w:r>
    </w:p>
    <w:p>
      <w:r>
        <w:t>A moins que la LTAF n'en dispose autrement, la procédure devant le Tribunal est régie par la PA (art. 37 LTAF).</w:t>
      </w:r>
    </w:p>
    <w:p>
      <w:r>
        <w:rPr>
          <w:b/>
        </w:rPr>
        <w:t>E. 1.3</w:t>
      </w:r>
    </w:p>
    <w:p>
      <w:r>
        <w:t>L'intéressée a qualité pour recourir (art. 48 al. 1 PA). Présenté dans la forme et dans les délais prescrits par la loi, le recours est recevable (art. 50 et 52 PA).</w:t>
      </w:r>
    </w:p>
    <w:p>
      <w:r>
        <w:rPr>
          <w:b/>
        </w:rPr>
        <w:t>E. 2</w:t>
      </w:r>
    </w:p>
    <w:p>
      <w:r>
        <w:t>Le Tribunal examine les décisions qui lui sont soumises avec un plein pouvoir d'examen en fait et en droit. La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le Tribunal prend en considération l'état de fait existant au moment où il statue (ATAF 2014/1 consid. 2 et réf. cit.).</w:t>
      </w:r>
    </w:p>
    <w:p>
      <w:r>
        <w:rPr>
          <w:b/>
        </w:rPr>
        <w:t>E. 3</w:t>
      </w:r>
    </w:p>
    <w:p>
      <w:r>
        <w:t>Dans son préavis du 5 mars 2020, l'autorité inférieure a indiqué avoir supprimé l'inscription au SIS. Elle a ainsi partiellement modifié la décision querellée en faveur de la recourante, conformément aux normes applicables en la matière. Par conséquent, il y a lieu de considérer que le recours est devenu sans objet sur ce point.</w:t>
      </w:r>
    </w:p>
    <w:p>
      <w:r>
        <w:rPr>
          <w:b/>
        </w:rPr>
        <w:t>E. 4</w:t>
      </w:r>
    </w:p>
    <w:p>
      <w:r>
        <w:t>Il convient donc d'examiner, dans un premier temps, si le prononcé d'une interdiction d'entrée à l'encontre de la recourante se justifiait dans son principe.</w:t>
      </w:r>
    </w:p>
    <w:p>
      <w:r>
        <w:rPr>
          <w:b/>
        </w:rPr>
        <w:t>E. 4.1</w:t>
      </w:r>
    </w:p>
    <w:p>
      <w:r>
        <w:t>L'interdiction d'entrée au sens du droit des étrangers vise à empêcher l'entrée ou le retour d'un étranger dont le séjour en Suisse (respectivement dans l'Espace Schengen) est indésirable (cf. arrêt du Tribunal fédéral [ci-après : le TF] 6B_173/2013 du 19 août 2013 consid. 2.3). Elle n'est pas considérée comme une peine sanctionnant un comportement déterminé, mais comme une mesure ayant pour but de prévenir une atteinte à la sécurité et à l'ordre publics (cf. ATAF 2017 VII/2 consid. 4.4 et 6.4 ; Message LEtr, FF 2002 3469, 3568). 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Dans ce contexte, il sied de relever que le critère du risque de récidive, qui constitue un élément d'appréciation central en présence de ressortissants d'Etats parties à l'ALCP, a une portée moindre en présence de ressortissants d'Etat tiers, tels que la recourante (cf. ATAF 2017 VII/2 consid. 4.4 et jurisp. cit.). Selon l'art. 67 al. 2 LEI, le SEM peut interdire l'entrée en Suisse à un étranger s'il a attenté à la sécurité et à l'ordre publics en Suisse ou à l'étranger ou les a mis en danger (let. a). L'interdiction d'entrée est prononcée pour une durée maximale de cinq ans. Elle peut toutefois être prononcée pour une plus longue durée lorsque la personne concernée constitue une menace grave pour la sécurité et l'ordre publics (art. 67 al. 3 LEI). Si des raisons humanitaires ou d'autres motifs importants le justifient, l'autorité appelée à statuer peut s'abstenir de prononcer une interdiction d'entrée ou suspendre provisoirement ou définitivement une interdiction d'entrée (art. 67 al. 5 LEI). S'agissant des notions de sécurité et d'ordre publics auxquelles se réfère l'art. 67 al. 2 let. a LEI, elles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(Message du Conseil fédéral du 8 mars 2002 concernant la loi sur les étrangers, FF 2002 3469, 3564, [ci-après : Message LEtr] ; ATAF 2017 VII/2 consid. 4.3). L'autorité compétente examine selon sa libre appréciation si une interdiction d'entrée au sens de l'art. 67 al. 2 LEI doit être prononcée. Elle doit donc procéder à une pondération méticuleuse de l'ensemble des intérêts en présence et respecter le principe de la proportionnalité (arrêt du TAF F-4873/2018 du 9 juillet 2019 consid. 3.2.3 ; Zünd/Arquint Hill, Beendigung der Anwesenheit, Entfernung und Fernhaltung, in : Uebersax/Rudin/Hugi Yar/Geiser [éd.], Ausländerrecht, 2ème éd., Bâle 2009, ch. 8.80 p. 356).</w:t>
      </w:r>
    </w:p>
    <w:p>
      <w:r>
        <w:rPr>
          <w:b/>
        </w:rPr>
        <w:t>E. 4.2</w:t>
      </w:r>
    </w:p>
    <w:p>
      <w:r>
        <w:t>En l'occurrence, la recourante est une ressortissante camerounaise qui est domiciliée en France. Elle est au bénéfice d'une carte de résidence française (pce TAF 1 annexe 3). Lors de son interpellation à la frontière franco-suisse à Vallorbe, elle portait certes ce document sur elle. Toutefois, elle était également en possession d'un passeport camerounais qui comportait un ajout manuscrit (cf let. B supra).</w:t>
      </w:r>
    </w:p>
    <w:p>
      <w:r>
        <w:rPr>
          <w:b/>
        </w:rPr>
        <w:t>E. 4.3</w:t>
      </w:r>
    </w:p>
    <w:p>
      <w:r>
        <w:t>Dans un premier temps, il convient donc d'examiner si la recourante était habilitée à se rendre en Suisse en portant uniquement sur elle sa carte de séjour française. La réglementation Schengen reprise par la Suisse dans le cadre de la conclusion des accords d'association à Schengen (RS 0.362.31) limite les prérogatives des Etats membres parties à ces accords, dans le sens où cette réglementation prévoit des conditions uniformes pour les conditions d'entrée. Les dispositions sur l'entrée en Suisse et la sortie de ce pays ne s'appliquent que dans la mesure où les accords d'association à Schengen, qui sont mentionnés à l'annexe 1, ch. 1 LEI (RS 142.20), ne contiennent pas de dispositions divergentes (cf. art. 2 al. 4 et 5 LEI). S'agissant des conditions d'entrée en Suisse pour un séjour n'excédant pas 90 jours, l'art. 3 al. 1 de l'ordonnance du 15 août 2018 sur l'entrée et l'octroi de visas (OEV, RS 142.204) renvoie à l'art. 6 du Règlement [UE] n° 2016/399 du Parlement européen et du Conseil du 9 mars 2016 concernant un code de l'Union relatif au régime de franchissement des frontières par les personnes (code frontières Schengen, version codifiée ; JO L 77/1 du 23 mars 2016 p. 1-52, modifié par le Règlement [UE] n° 2017/458, JO L 74 du 18 mars 2017, p. 1 ; voir aussi la Recommandation C(2019) 7131 final de la Commission du 8 octobre 2019 et son annexe établissant un « Manuel pratique à l'intention des gardes-frontières » commun devant être utilisé par les autorités compétentes des Etats membres lors du contrôle des personnes aux frontières). L'art. 6 par. 1 du code frontières Schengen, dont le contenu coïncide avec celui de l'art. 5 LEI, prévoit que, pour un séjour de courte durée sur le territoire des Etats membres, soit un séjour n'excédant pas 90 jours sur toute une période de 180 jours, les conditions d'entrée pour les ressortissants de pays tiers sont les suivantes : être en possession d'un document de voyage en cours de validité autorisant son titulaire à franchir la frontière (let. a) ; être en possession d'un visa en cours de validité si celui-ci est requis en vertu du Règlement (CE) n° 539/2001 du Conseil du 15 mars 2001, sauf s'ils sont titulaires d'un titre de séjour ou d'un visa de long séjour en cours de validité (let. b); justifier l'objet et les conditions du séjour envisagé, et disposer de moyens de subsistance suffisants, tant pour la durée du séjour envisagé que pour le retour dans leur pays d'origine ou le transit vers un pays tiers dans lequel leur admission est garantie, ou être en mesure d'acquérir légalement ces moyens (let. c) ; ne pas être signalé aux fins de non-admission dans le SIS (let. d) ; ne pas être considéré comme constituant une menace pour l'ordre public, la sécurité intérieure, la santé publique ou les relations internationales de l'un des Etats membres et, en particulier, ne pas avoir fait l'objet d'un signalement aux fins de non-admission dans les bases de données nationales des Etats membres pour ces même motifs (let. e). En vertu de l'art. 6 par. 5 let. a du code frontières Schengen, les ressortissants de pays tiers qui ne remplissent pas toutes les conditions prévues au paragraphe 1, mais qui sont titulaires d'un titre de séjour ou d'un visa de long séjour, sont autorisés à entrer aux fins de transit sur le territoire des autres Etats membres afin de pouvoir atteindre le territoire de l'Etat membre qui a délivré le titre de séjour ou le visa de long séjour, sauf s'ils figurent sur la liste nationale de signalements de l'Etat membre aux frontières extérieures duquel ils se présentent et si ce signalement est assorti d'instructions quant à l'interdiction d'entrée ou de transit. Sur la base de cette dernière disposition, il y a lieu de conclure que la recourante était autorisée à entrer aux fins de transit sur le territoire des autres Etats membres, dont la Suisse, en ne portant sur elle que sa carte de séjour française. On relève d'ailleurs que le SEM n'a pas contesté ce point dans son préavis du 5 mars 2020.</w:t>
      </w:r>
    </w:p>
    <w:p>
      <w:r>
        <w:rPr>
          <w:b/>
        </w:rPr>
        <w:t>E. 4.4</w:t>
      </w:r>
    </w:p>
    <w:p>
      <w:r>
        <w:t>Cela étant, la recourante, afin de justifier son identité, a également remis aux douaniers suisses un passeport qui s'est avéré être falsifié (cf. pce SEM 1 p. 15 [Rapport de l'administration fédérale des douanes du 1er décembre 2019]). Selon le chiffre 8.1 de l'annexe à la Recommandation C(2019) 7131 susmentionnée, cette circonstance justifiait en soi que l'entrée en Suisse lui soit refusée. En outre, le simple fait que la recourante était détentrice de ce passeport alors qu'elle transitait par la Suisse, est apte à démontrer qu'en cas de besoin, elle avait l'intention de justifier de son identité par le biais de ce document, ce qu'elle a d'ailleurs fait. Dans ces conditions, on ne saurait faire grief au SEM d'avoir retenu que l'intéressée avait commis une infraction remplissant les critères de l'art. 252 CP, étant précisé qu'il n'est pas déterminant que la recourante ait présenté cette pièce d'identité spontanément ou sur requête expresse des douaniers. En effet, cette disposition retient notamment que celui qui, dans le dessein d'améliorer sa situation, fait usage de pièces de légitimation falsifiées pour tromper autrui, sera puni d'une peine privative de liberté de trois ans au plus ou d'une peine pécuniaire. En ce sens, le Tribunal de céans rejoint l'appréciation du Tribunal de police de l'arrondissement de la Broye et du Nord vaudois (cf. let. L supra). Dans ces circonstances, on précisera que, même si la commission d'une infraction au sens de l'art. 252 CP est toujours contestée par la recourante dans le cadre de la procédure pénale, les pièces réunies au dossier étaient suffisamment accablantes pour que l'autorité administrative puisse rendre une mesure d'éloignement à son encontre (cf. à ce sujet, pour comparaison, arrêts du TAF F-1473/2016 du 15 mai 2017 consid. 4.3.1 et les réf. cit. ; F-2377/2016 du 1er mai 2017 consid. 4.4 ; F-5721/2017 du 9 mars 2018 consid. 6.3 in fine).</w:t>
      </w:r>
    </w:p>
    <w:p>
      <w:r>
        <w:rPr>
          <w:b/>
        </w:rPr>
        <w:t>E. 4.5</w:t>
      </w:r>
    </w:p>
    <w:p>
      <w:r>
        <w:t>Il y a donc lieu de conclure que l'interdiction d'entrée est justifiée dans son principe, étant relevé qu'il n'existe pas de raisons humanitaires ou d'autres motifs importants justifiant l'abstention ou la suspension de la mesure d'éloignement au sens de l'art. 67 al. 5 LEI.</w:t>
      </w:r>
    </w:p>
    <w:p>
      <w:r>
        <w:rPr>
          <w:b/>
        </w:rPr>
        <w:t>E. 5</w:t>
      </w:r>
    </w:p>
    <w:p>
      <w:r>
        <w:t>Il convient encore d'examiner si la mesure d'éloignement prise par l'autorité inférieure satisfait au principe de proportionnalité. Pour rappel, le SEM a prononcé une interdiction d'entrée d'une durée de 3 ans, allant du 10 décembre 2019 au 9 décembre 2022. En l'occurrence, s'il est vrai que l'intéressée ne fait pas valoir d'intérêt privé particulier à se rendre en Suisse, plusieurs éléments permettent de relativiser quelque peu l'infraction reprochée. Ainsi, la recourante a utilisé son propre passeport (et non une pièce de légitimation entièrement fausse) sur lequel seule la date de péremption avait été modifiée au moyen d'un ajout manuscrit grossier et imparfait. En outre, comme on l'a vu, elle est habilitée à se rendre en Suisse en portant sur elle uniquement sa carte de séjour française (cf. consid. 4.3 supra), ce qui atténue sensiblement le risque de récidive, d'autant plus que le passeport falsifié a été confisqué par les autorités suisses (cf. pce TAF 14, annexe 1 p. 11 de l'arrêt ; sur le risque de récidive en rapport avec des ressortissants d'Etat tiers cf. consid. 4.1 supra). Sur le vu de l'ensemble de ces circonstances, il paraît justifié de lever la mesure d'éloignement au jour du présent arrêt.</w:t>
      </w:r>
    </w:p>
    <w:p>
      <w:r>
        <w:rPr>
          <w:b/>
        </w:rPr>
        <w:t>E. 6.1</w:t>
      </w:r>
    </w:p>
    <w:p>
      <w:r>
        <w:t>Il ressort de qui précède que le recours est partiellement admis et la décision du SEM du 10 décembre 2019 est réformée, en ce sens que les effets de l'interdiction d'entrée sont limités au jour du présent arrêt.</w:t>
      </w:r>
    </w:p>
    <w:p>
      <w:r>
        <w:rPr>
          <w:b/>
        </w:rPr>
        <w:t>E. 6.2</w:t>
      </w:r>
    </w:p>
    <w:p>
      <w:r>
        <w:t>Dans la mesure où la recourante n'obtient que partiellement gain de cause, il y a lieu de mettre des frais réduits de procédure à sa charge (art. 63 al. 1 2ème phrase PA en relation avec les art. 1 à 3 du règlement du 21 février 2008 concernant les frais, dépens et indemnités fixés par le Tribunal administratif fédéral [FITAF, RS 172.320.2]).</w:t>
      </w:r>
    </w:p>
    <w:p>
      <w:r>
        <w:rPr>
          <w:b/>
        </w:rPr>
        <w:t>E. 6.3</w:t>
      </w:r>
    </w:p>
    <w:p>
      <w:r>
        <w:t>Obtenant partiellement gain de cause, il convient également d'accorder à la recourante des dépens réduits (cf. art. 64 al. 1 PA en relation avec l'art. 7 al. 2 FITAF). Dès lors que le mandataire n'a pas produit un décompte de ses prestations, le Tribunal fixera les dépens sur la base du dossier (art. 14 al. 2 FITAF). Au vu de l'ensemble des circonstances du cas et de l'ampleur du travail accompli par le mandataire un montant de 1'800 francs, TVA comprise, apparaît comme équitable pour indemniser le travail effectué. Dès lors que la recourante n'obtient que partiellement gain de cause, seul un montant de 900 francs lui sera versé par l'autorité inférieure à titre de dépens réduits.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