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F-7702/2015 vom 3. April 2017</w:t>
      </w:r>
    </w:p>
    <w:p>
      <w:r>
        <w:t>Bundesverwaltungsgericht, 2017-04-03, FR</w:t>
      </w:r>
    </w:p>
    <w:p>
      <w:r>
        <w:rPr>
          <w:b/>
        </w:rPr>
        <w:t xml:space="preserve">Quelle: </w:t>
      </w:r>
      <w:r>
        <w:t>https://mcp.opencaselaw.ch/entscheid/bvger_F-7702_2015</w:t>
      </w:r>
    </w:p>
    <w:p>
      <w:r>
        <w:t>FR: TAF F-7702/2015 du 3 avril 2017</w:t>
      </w:r>
    </w:p>
    <w:p>
      <w:r>
        <w:t>IT: TAF F-7702/2015 del 3 aprile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et son épouse, B._______ et leurs quatre enfants, qui ont pris part à la procédure devant l'autorité inférieure, ont qualité pour recourir (art. 48 al. 1 PA). Présenté dans la forme et les délais prescrits par la loi, le recours est recevable (cf. art. 50 et 52 PA).</w:t>
      </w:r>
    </w:p>
    <w:p>
      <w:r>
        <w:rPr>
          <w:b/>
        </w:rPr>
        <w:t>E. 1.4</w:t>
      </w:r>
    </w:p>
    <w:p>
      <w:r>
        <w:t>A titre liminaire, il convient de relever qu'au vu du décès de A._______ le 12 juin 2016 à Amman, le recours du 27 novembre 2015 est devenu sans objet en ce qui le concerne et peut être radié du rôle.</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FF 2002 3469, ch. 2.2 p. 3531, ad art. 3 du projet de loi, ci-après: Message LEtr; voir également ATF 135 II 1 consid. 1.1; ATAF 2014/1 consid. 4.1.1; 2011/48 consid. 4.1;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voir également ATAF 2009/27 consid. 4). S'agissant des conditions d'entrée en Suisse pour un séjour n'excédant pas quatre-vingt-dix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version codifiée [JO L 77 du 23 mars 2016 p. 1]). Les conditions d'entrée ainsi prévues correspondent, pour l'essentiel, à celles posées par l'art. 5 LEtr (cf. notamment ATAF 2009/27 consid. 5.1; arrêt du TAF C-7284/2015 du 20 juin 2016 consid. 5.1).</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4 OEV en relation avec l'art. 2 al. 4 OEV).</w:t>
      </w:r>
    </w:p>
    <w:p>
      <w:r>
        <w:rPr>
          <w:b/>
        </w:rPr>
        <w:t>E. 4.3</w:t>
      </w:r>
    </w:p>
    <w:p>
      <w:r>
        <w:t>L'abrogation, le 29 septembre 2012, de l'ancien art. 20 LAsi (RS 142.31), qui autorisait le dépôt d'une demande d'asile à l'étranger, a amené le Conseil fédéral à édicter l'art. 2 al. 4 OEV précité, qui concrétise l'art. 6 par. 5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w:t>
      </w:r>
    </w:p>
    <w:p>
      <w:r>
        <w:rPr>
          <w:b/>
        </w:rPr>
        <w:t>E. 4.4</w:t>
      </w:r>
    </w:p>
    <w:p>
      <w:r>
        <w:t>Le visa humanitaire peut être délivré si, dans un cas d'espèce, il y a lieu d'estimer que la vie ou l'intégrité physique d'une personne est directement, sérieusement et concrètement menacée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 s ; cf. aussi ch. 2 de la directive du SEM du 25 février 2014 [état au 30 août 2016] concernant les demandes de visa pour motifs humanitaires). Lorsque l'intéressé se trouve déjà dans un Etat tiers, il y a lieu de considérer en règle générale, à défaut d'éléments contraires et décisifs, qu'il n'est plus menacé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l'intéressé puisse contourner les conditions générales prévues par le droit Schengen, en occultant le véritable motif de son séjour en Suisse.</w:t>
      </w:r>
    </w:p>
    <w:p>
      <w:r>
        <w:rPr>
          <w:b/>
        </w:rPr>
        <w:t>E. 4.5</w:t>
      </w:r>
    </w:p>
    <w:p>
      <w:r>
        <w:t>La procédure d'octroi de visa humanitaire, telle que décrite dans la directive précitée du 25 février 2014, ne prévoit pas, contrairement à l'ancienne procédure de demande d'asile à l'étranger, une audition de l'intéressé. Selon le ch. 3.1 al. 2 de la directive, la représentation suisse à l'étranger ne procède pas à des clarifications approfondies, une première appréciation du cas étant suffisante; elle ne procède pas non plus à une audition en matière d'asile et le demandeur est tenu de collaborer à la constatation des faits.</w:t>
      </w:r>
    </w:p>
    <w:p>
      <w:r>
        <w:rPr>
          <w:b/>
        </w:rPr>
        <w:t>E. 4.6</w:t>
      </w:r>
    </w:p>
    <w:p>
      <w:r>
        <w:t>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remarque a de la directive).</w:t>
      </w:r>
    </w:p>
    <w:p>
      <w:r>
        <w:rPr>
          <w:b/>
        </w:rPr>
        <w:t>E. 5</w:t>
      </w:r>
    </w:p>
    <w:p>
      <w:r>
        <w:t>En l'occurrence, les recourants, en tant que ressortissants syriens, sont soumis à l'obligation de visa pour l'entrée en Suisse, conformément à l'art. 1 par. 1 du règlement (CE) n° 539/2001du Conseil du 15 mars 2001 fixant la liste des pays tiers dont les ressortissants sont soumis à l'obligation de visa pour franchir les frontières extérieures des États membres et la liste de ceux dont les ressortissants sont exemptés de cette obligation (JO L 81/1 du 21 mars 2001). Il est encore à noter que les intéressés ont déposé des demandes visant spécifiquement l'octroi de visas pour motifs humanitaires et que les décisions prises par l'Ambassade de Suisse à Amman et le SEM concernaient tant le refus de visas Schengen uniformes que le refus de visas à valeur territoriale limitée (VTL). Le refus de visa Schengen uniforme n'ayant pas été contesté par les recourants, seule demeure litigieuse la question du refus de visa VTL.</w:t>
      </w:r>
    </w:p>
    <w:p>
      <w:r>
        <w:rPr>
          <w:b/>
        </w:rPr>
        <w:t>E. 5.1</w:t>
      </w:r>
    </w:p>
    <w:p>
      <w:r>
        <w:t>En l'espèce, il ressort du dossier qu'en 2014 B._______, son conjoint et leurs quatre enfants ont quitté la Syrie pour trouver refuge en Jordanie. Le 24 juillet 2014, le HCR les a ainsi enregistrés en qualité de réfugiés et leur a délivré un certificat « UNHCR Asylum Seeker Certificate » (cf. certificat du 24 juillet 2014, mail de G._______ à l'Ambassade de Suisse en Jordanie du 28 juin 2015). En juin 2015, il a été diagnostiqué que A._______ souffrait d'un cancer du foie à un stade avancé (cf. rapport médical du 7 juillet 2015). Le prénommé en est décédé le 12 juin 2016 à Amman. B._______ a alors maintenu les demande de visas humanitaires pour être autorisée à venir en Suisse avec ses quatre enfants, aux motifs qu'étant veuve avec quatre jeunes enfants à charge et sans réseau familial et social en Jordanie, il lui était impossible d'y trouver du travail et de subvenir aux besoins de sa famille, alors que ses deux beaux-frères résidant en Suisse souhaitaient la soutenir. Elle a également indiqué que n'étant pas titulaires d'une autorisation légale de séjour en Jordanie, ses enfants ne pouvaient pas y être scolarisés dans des établissements publics, ce qui leur était préjudiciable, en particulier pour les deux aînés (cf. courrier du 22 juillet 2016).</w:t>
      </w:r>
    </w:p>
    <w:p>
      <w:r>
        <w:rPr>
          <w:b/>
        </w:rPr>
        <w:t>E. 5.2</w:t>
      </w:r>
    </w:p>
    <w:p>
      <w:r>
        <w:t>Le Tribunal constate que B._______ et ses enfants ont quitté la Syrie en 2014 et séjournent depuis lors dans un Etat tiers, la Jordanie, où ils ont été enregistrés le 24 juillet 2014, par le bureau du HCR, en qualité de réfugiés. Il y a dès lors lieu de considérer que ceux-ci ne sont pas directement menacés dans leur pays d'origine. La recourante fait toutefois valoir sa difficile condition de jeune femme veuve avec quatre enfants à charge, sans réseau social en Jordanie, et sa difficulté d'y accéder au marché du travail (cf. lettres des 22 juillet et 24 octobre 2016). Force est de relever que si la situation de la prénommée n'est certes pas facile, celle-ci ne fait pas pour autant ressortir l'existence de risques pressants, concrets et sérieux contre sa vie, son intégrité physique où celle de ses enfants en Jordanie. En effet, l'intéressée et ses enfants ont été enregistrés par le HCR et comme le relève à juste titre le SEM, dans sa détermination du 13 septembre 2016, la Jordanie accorde l'asile à un grand nombre de réfugiés syriens, leur offrant ainsi accès aux services de santé et d'éducation dans les communautés d'accueil en coopération avec le HCR. Au demeurant, selon certaines sources, la Jordanie continue de manifester son hospitalité envers les réfugiés syriens, notamment en leur ouvrant de manière partielle son accès au marché du travail et en renforçant l'accès de leurs enfants à l'éducation (cf. en particulier http://www.laviedesidees.fr/La-Jordanie-et-les-refugies-syriens.html, 7 juin 2016, consulté en janvier 2017). Certes, devant s'occuper de ses quatre jeunes enfants, B._______ pourra avoir difficilement accès au marché du travail en Jordanie, où vivent de nombreux ressortissants syriens en exil. La recourante n'allègue cependant pas faire l'objet d'une quelconque menace concrète. Par ailleurs, elle n'a pas fait valoir qu'elle craignait que la Jordanie ne la rapatrie de manière forcée avec ses enfants vers la Syrie, étant précisé que si cet Etat n'est pas signataire de la Convention du 28 juillet 1951 relative au statut des réfugiés (Conv. réfugiés, RS 0.142.301), il applique le principe de non-refoulement qui y est contenu, en vertu du droit international coutumier. Au demeurant, les membres de la famille de son conjoint, qui vivent en Suisse « au bénéfice d'une situation économique stable et confortable. Chacun des beaux-frères proposant leur aide sans aucune restriction... » (cf. détermination du 24 octobre 2016 p. 3), peuvent continuer à la soutenir notamment financièrement. Par ailleurs, B._______ affirme que ne disposant pas d'un statut légal en Jordanie, ses enfants, en particulier ses deux aînés, ne pourraient pas être scolarisés dans les écoles publiques jordaniennes. La prénommée ne rapporte toutefois aucune preuve de cette allégation. Au demeurant, comme mentionné ci-dessus, B._______ et ses quatre enfants ne sont pas sans papiers et sans statut, mais ont été enregistrés par le HCR en qualité de réfugiés syriens et à ce titre bénéficient du soutien du HCR et du Royaume hachémite de Jordanie. Enfin, si l'article général cité par les recourants dans leurs écritures du 24 octobre 2016 « Jordanie : Renforcer l'accès des enfants réfugiés syriens à l'éducation » mentionne qu'en cas de déménagements de ressortissants syriens, les délais peuvent aller jusqu'à huit mois pour se réenregistrer et que les enfants peuvent ainsi perdre jusqu'à une année d'école, il n'indique pas pour autant que les enfants dont les parents ont déménagés sont privés de scolarités. Enfin, cet article relève également que les enfants syriens qui ne sont plus scolarisés, sont souvent ceux des familles les plus pauvres, dont les enfants arrêtent, totalement, voire partiellement leur scolarité, pour travailler sans permis, car le risque qu'ils soient arrêtés pour du travail sans autorisation est moins élevé que chez les adultes. Or, comme mentionné ci-dessus, B._______ peut également compter sur le soutien de ses deux beaux-frères résidant en Suisse, qui se sont déclarés disposés à la soutenir sans restriction. Au demeurant, tant le HCR que le Royaume hachémite de Jordanie oeuvrent toujours d'avantage pour offrir de meilleures conditions de vie aux réfugiés syriens en Jordanie (cf. article précité, site https://www.hrw.org/fr/news/ 2016/98/16/jordanie-renforcer-lacces-des-enfants-refugies).</w:t>
      </w:r>
    </w:p>
    <w:p>
      <w:r>
        <w:rPr>
          <w:b/>
        </w:rPr>
        <w:t>E. 5.3</w:t>
      </w:r>
    </w:p>
    <w:p>
      <w:r>
        <w:t>Au vu de ce qui précède, nonobstant les conditions de vie particulièrement difficiles qu'ils peuvent connaître en Jordanie, il y a lieu de considérer que la recourante et ses enfants ne se trouvent pas dans une situation de danger imminent justifiant, au regard de conditions strictes auxquelles ils sont soumis, l'octroi de visas humanitaires.</w:t>
      </w:r>
    </w:p>
    <w:p>
      <w:r>
        <w:rPr>
          <w:b/>
        </w:rPr>
        <w:t>E. 6</w:t>
      </w:r>
    </w:p>
    <w:p>
      <w:r>
        <w:t>Il s'ensuit que le recours daté du 27 novembre 2015 doit être rejeté, dans la mesure où il n'est pas devenu sans objet, et la décision sur opposition du 26 octobre 2015 confirmée.</w:t>
      </w:r>
    </w:p>
    <w:p>
      <w:r>
        <w:rPr>
          <w:b/>
        </w:rPr>
        <w:t>E. 7</w:t>
      </w:r>
    </w:p>
    <w:p>
      <w:r>
        <w:t>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Vu l'issue de la cause concernant B._______ et ses enfants C._______, D._______, E._______ et F._______, il y aurait lieu de mettre les frais de procédure à la charge des recourants, conformément aux art. 63 al. 1 PA et 3 let. b FITAF. A titre exceptionnel, il y est toutefois renoncé (cf. art. 6 let. b FITAF). Pour le surplus, il n'est pas alloué de dépens (art. 15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