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F-7678/2024 vom 7. November 2024</w:t>
      </w:r>
    </w:p>
    <w:p>
      <w:r>
        <w:t>Bundesverwaltungsgericht, 2024-11-07, DE</w:t>
      </w:r>
    </w:p>
    <w:p>
      <w:r>
        <w:rPr>
          <w:b/>
        </w:rPr>
        <w:t xml:space="preserve">Quelle: </w:t>
      </w:r>
      <w:r>
        <w:t>https://mcp.opencaselaw.ch/entscheid/bvger_F-7678_2024_d20241107</w:t>
      </w:r>
    </w:p>
    <w:p>
      <w:r>
        <w:t>FR: TAF F-7678/2024 du 7 novembre 2024</w:t>
      </w:r>
    </w:p>
    <w:p>
      <w:r>
        <w:t>IT: TAF F-7678/2024 del 7 novembre 2024</w:t>
      </w:r>
    </w:p>
    <w:p>
      <w:pPr>
        <w:pStyle w:val="Heading2"/>
      </w:pPr>
      <w:r>
        <w:t>Regeste</w:t>
      </w:r>
    </w:p>
    <w:p>
      <w:r>
        <w:t>Einreiseverbot | Einreiseverbot; Verfügung des SEM vom 7. November 2024</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der ein schutzwür- diges Interesse an der Aufhebung oder Änderung der angefochtenen Ver- fügung hat, zur Erhebung der Beschwerde legitimiert (Art. 48 Abs. 1 VwVG). Auch die übrigen Sachurteilsvoraussetzungen (Rechtsmittelfrist [Art. 50 Abs. 1 VwVG] und Form der Beschwerde [Art. 52 VwVG]) sind er- 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die Be- schwerde auch aus anderen als den geltend gemachten Gründen gutheis- sen oder abweisen. Massgebend ist grundsätzlich die Sachlage zum Zeit- punkt des Entscheids (BGE 139 II 534 E. 5.4.1; BVGE 2020 VII/4 E. 2.2).</w:t>
      </w:r>
    </w:p>
    <w:p>
      <w:r>
        <w:rPr>
          <w:b/>
        </w:rPr>
        <w:t>E. 3.1</w:t>
      </w:r>
    </w:p>
    <w:p>
      <w:r>
        <w:t>Zu prüfen ist vorab, ob die Vorinstanz – wie vom Beschwerdeführer geltend gemacht – seinen Anspruch auf rechtliches Gehör verletzt hat.</w:t>
      </w:r>
    </w:p>
    <w:p>
      <w:r>
        <w:rPr>
          <w:b/>
        </w:rPr>
        <w:t>E. 3.2</w:t>
      </w:r>
    </w:p>
    <w:p>
      <w:r>
        <w:t>Der Anspruch auf rechtliches Gehör (Art. 29 VwVG) umfasst das Recht des Betroffenen, sich vor Erlass eines in seine Rechtsstellung eingreifen- den Entscheids zur Sache äussern zu können (Art. 30 VwVG). Er verlangt von der Behörde, dass sie die Vorbringen des Betroffenen tatsächlich hört, ernsthaft prüft und in ihrer Entscheidfindung angemessen berücksichtigt.</w:t>
      </w:r>
    </w:p>
    <w:p>
      <w:r>
        <w:t>F-7678/2024 Seite 5 Dies gilt für alle form- und fristgerechten Äusserungen, Eingaben und An- träge, die zur Klärung der konkreten Streitfrage geeignet und erforderlich erscheinen (Art. 32 VwVG). Aus dem Anspruch auf rechtliches Gehör folgt auch die grundsätzliche Pflicht der Behörden, ihren Entscheid zu begrün- den (Art. 35 VwVG). Die Begründung muss so abgefasst sein, dass der Betroffene den Entscheid gegebenenfalls sachgerecht anfechten kann. Sie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(BGE 143 III 65 E. 5.2; 136 I 184 E. 2.2.1; 133 III 439 E. 3.3).</w:t>
      </w:r>
    </w:p>
    <w:p>
      <w:r>
        <w:rPr>
          <w:b/>
        </w:rPr>
        <w:t>E. 3.3</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 BVGE 2012/24 E. 3.4). Einer geheilten Gehörsverletzung kann im Kostenpunkt Rechnung getragen werden.</w:t>
      </w:r>
    </w:p>
    <w:p>
      <w:r>
        <w:rPr>
          <w:b/>
        </w:rPr>
        <w:t>E. 3.4</w:t>
      </w:r>
    </w:p>
    <w:p>
      <w:r>
        <w:t>Der Beschwerdeführer macht geltend, ihm sei vor Erlass der angefoch- tenen Verfügung keine Möglichkeit zur Stellungnahme eingeräumt worden. Dem Beschwerdeführer wurde im Rahmen der Einvernahme durch die Stadtpolizei B._______ vom 27. Oktober 2024 das rechtliche Gehör zu ei- ner allfälligen Verhängung eines Einreiseverbots gewährt.</w:t>
      </w:r>
    </w:p>
    <w:p>
      <w:r>
        <w:rPr>
          <w:b/>
        </w:rPr>
        <w:t>E. 3.5</w:t>
      </w:r>
    </w:p>
    <w:p>
      <w:r>
        <w:t>Der Beschwerdeführer führt an, die Vorinstanz habe mit ihrer pauscha- len Begründung die Substantiierungspflicht verletzt. Es sei ihm nicht mög- lich nachzuvollziehen, von welchen Gründen sich die Behörde bei ihrem Entscheid habe leiten lassen.</w:t>
      </w:r>
    </w:p>
    <w:p>
      <w:r>
        <w:t>F-7678/2024 Seite 6 Die Vorinstanz hält in der angefochtenen Verfügung fest, bei einer Kontrolle am 26. Oktober 2024 sei festgestellt worden, dass der Beschwerdeführer illegal in die Schweiz eingereist sei und sich hier rechtswidrig aufgehalten habe. Damit hat sie dargelegt, worauf sie ihren Entscheid stützt, und es war dem Beschwerdeführer möglich, den Entscheid sachgerecht anzu- fechten.</w:t>
      </w:r>
    </w:p>
    <w:p>
      <w:r>
        <w:rPr>
          <w:b/>
        </w:rPr>
        <w:t>E. 3.6</w:t>
      </w:r>
    </w:p>
    <w:p>
      <w:r>
        <w:t>Der Beschwerdeführer macht geltend, die Vorinstanz habe seine priva- ten Interessen – sein Sohn lebe in der Schweiz – in der Interessenabwä- gung nicht berücksichtigt. Aus den Akten geht hervor, dass der Beschwerdeführer in die Schweiz ein- gereist ist, um den Geburtstag seines in der Schweiz lebenden Sohnes zu feiern. Die angefochtene Verfügung äussert sich zur Anwesenheit des Soh- nes des Beschwerdeführers in der Schweiz nicht und berücksichtigt dies entsprechend auch nicht in der Verhältnismässigkeitsprüfung, was eine Verletzung der Begründungspflicht darstellt (vgl. Urteil des BGer 2C_1020/2019 vom 31. März 2020 E. 3.4.6). Der anwaltlich vertretene Be- schwerdeführer hatte jedoch die Möglichkeit, sich im vorliegenden Be- schwerdeverfahren, in dem das Bundesverwaltungsgericht sowohl den Sachverhalt als auch die Rechtslage frei überprüfen kann (vgl. E. 2), zu äussern und seine privaten Interessen darzulegen. Die Gehörsverletzung ist damit geheilt. Ihr ist im Kostenpunkt Rechnung zu tragen (s. E. 9).</w:t>
      </w:r>
    </w:p>
    <w:p>
      <w:r>
        <w:rPr>
          <w:b/>
        </w:rPr>
        <w:t>E. 4.1</w:t>
      </w:r>
    </w:p>
    <w:p>
      <w:r>
        <w:t>Nach Art. 67 Abs. 1 Bst. c AIG verfügt das SEM unter Vorbehalt von Abs. 5 ein Einreiseverbot gegenüber ausländischen Personen,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 chen Sicherheit und Ordnung liegt vor, wenn konkrete Anhaltspunkte dafür bestehen, dass der Aufenthalt der betroffenen Person in der Schweiz mit erheblicher Wahrscheinlichkeit zu einer Nichtbeachtung der öffentlichen Sicherheit und Ordnung führt (Art. 77a Abs. 2 VZAE).</w:t>
      </w:r>
    </w:p>
    <w:p>
      <w:r>
        <w:rPr>
          <w:b/>
        </w:rPr>
        <w:t>E. 4.2</w:t>
      </w:r>
    </w:p>
    <w:p>
      <w:r>
        <w:t>Das Einreiseverbot wird grundsätzlich für eine Dauer von höchstens fünf Jahren verfügt (Art. 67 Abs. 3 erster Satz AIG). Die verfügende Be- hörde kann ausnahmsweise aus humanitären oder anderen wichtigen</w:t>
      </w:r>
    </w:p>
    <w:p>
      <w:r>
        <w:t>F-7678/2024 Seite 7 Gründen von der Verhängung eines Einreiseverbots absehen oder ein Ein- reiseverbot endgültig oder vorübergehend aufheben (Art. 67 Abs. 5 erster Satz AIG).</w:t>
      </w:r>
    </w:p>
    <w:p>
      <w:r>
        <w:rPr>
          <w:b/>
        </w:rPr>
        <w:t>E. 4.3</w:t>
      </w:r>
    </w:p>
    <w:p>
      <w:r>
        <w:t>Das in Art. 67 Abs. 1 Bst. c AIG geregelte Einreiseverbot stellt keine Sanktion dar, sondern eine Massnahme zur Abwendung einer künftigen Störung der öffentlichen Sicherheit und Ordnung (vgl. Botschaft zum Bun- desgesetz über die Ausländerinnen und Ausländer vom 8. März 2002 [nachfolgend: Botschaft], BBl 2002 3709, S. 3813). Die öffentliche Sicher- heit und Ordnung bildet den Oberbegriff für die Gesamtheit der polizeili- chen Schutzgüter; sie umfasst unter anderem die Unverletzlichkeit der ob- jektiven Rechtsordnung und der Rechtsgüter Einzelner (vgl. Botschaft, a.a.O., S. 3809). Widerhandlungen gegen Normen des Ausländerrechts fallen ohne weiteres unter diese Begriffsbestimmung und können ein Ein- reiseverbot nach sich ziehen (vgl. Botschaft, a.a.O., S. 3813). Die Verhän- gung eines Einreiseverbots gestützt auf Art. 67 Abs. 1 Bst. c AIG knüpft an das Risiko einer künftigen Gefährdung an. Gestützt auf sämtliche Um- stände des Einzelfalles ist eine entsprechende Prognose zu stellen. Dabei ist naturgemäss primär das vergangene Verhalten der betroffenen Person zu berücksichtigen. Es genügt dabei, wenn der ausländischen Person eine Sorgfaltspflichtverletzung zugerechnet werden kann. Unkenntnis oder Fehlinterpretation der Einreise- und Aufenthaltsvorschriften stellen in der Regel keinen hinreichenden Grund dar, von einer Fernhaltemassnahme abzusehen (vgl. anstelle vieler Urteil des BVGer F-1934/2022 vom 6. März 2023 E. 4.3). Jeder ausländischen Person obliegt es, sich über bestehende Rechte und Pflichten im Zusammenhang mit den ausländerrechtlichen Vor- schriften ins Bild zu setzen und sich im Falle von Unklarheiten bei der zu- ständigen Behörde zu informieren (vgl. statt vieler Urteil des BVGer F-979/2023 vom 20. Januar 2024 E. 4.4).</w:t>
      </w:r>
    </w:p>
    <w:p>
      <w:r>
        <w:rPr>
          <w:b/>
        </w:rPr>
        <w:t>E. 4.4</w:t>
      </w:r>
    </w:p>
    <w:p>
      <w:r>
        <w:t>Ein Einreiseverbot kann unabhängig von einem Strafverfahren erlas- sen werden und grundsätzlich auch dann verhängt werden, wenn ein rechtskräftiges Strafurteil fehlt, so weil ein Strafverfahren nicht eröffnet wurde, noch hängig ist oder wie in diesem Fall eingestellt wurde (vgl. dazu anstelle vieler: Urteile des BVGer F-3903/2020 vom 14. Mai 2021 E. 5.2.1; F-6906/2018 vom 10. Dezember 2019 E. 4.3; F-5969/2016 vom 28. Sep- tember 2017 E. 6.4). Eine strafrechtliche Verurteilung ist keine notwendige Voraussetzung für eine Fernhaltemassnahme. Dies ergibt sich daraus, dass eine Störung der öffentlichen Sicherheit und Ordnung an eine Polizei- gefahr anknüpft, unabhängig davon, ob die entsprechende Handlung straf- rechtlich verfolgt wird beziehungsweise verfolgt werden kann. Ob eine</w:t>
      </w:r>
    </w:p>
    <w:p>
      <w:r>
        <w:t>F-7678/2024 Seite 8 solche Störung besteht und wie diese zu gewichten ist, hat die Verwal- tungsbehörde in eigener Kompetenz unter Zugrundelegung ausländer- rechtlicher Kriterien zu beurteilen. Es genügt, dass Verdachtsmomente vor- liegen, die von der Behörde als hinreichend konkret erachtet werden (vgl. Urteile des BVGer F-47/2024 vom 5. November 2024 E.6.3; F-5013/2021 vom 28. Juli 2023 E. 6.7). Die Einstellung des Strafverfahrens hat somit keinen unmittelbaren Einfluss auf das verwaltungsrechtliche Verfahren. Die Grundsätze der Einheit der Rechtsordnung und der Rechtssicherheit gebieten allerdings, dass widersprüchliche Entscheide zwischen Straf- und Administrativbehörden im Rahmen des Möglichen zu vermeiden sind, so- weit sie auf den gleichen Tatsachen beruhen (BGE 139 II 95 E. 3.2; 137 I 363 E. 2.3.2; 124 II 103 E. 1c/aa und bb; Urteil des BGer 1C_98/2017 vom 2. Juni 2017 E. 2.4; Urteil des BVGer F-3903/2020 vom 14. Mai 2021 E. 5.2.1). In diesem Sinn entfernt sich das Bundesverwaltungsgericht grundsätzlich nicht ohne Not von den tatbeständlichen Feststellungen (ge- meint: Feststellungen des Sachverhalts) des Strafgerichts. Soweit eine Bindungswirkung des strafrechtlichen Urteils beziehungsweise der Einstel- lung des Strafverfahrens zum Tragen kommt, bezieht sich diese im vorlie- genden Zusammenhang ausschliesslich auf die Tatsachenfeststellungen des Strafgerichts.</w:t>
      </w:r>
    </w:p>
    <w:p>
      <w:r>
        <w:rPr>
          <w:b/>
        </w:rPr>
        <w:t>E. 5.1</w:t>
      </w:r>
    </w:p>
    <w:p>
      <w:r>
        <w:t>Die Vorinstanz begründet das Einreiseverbot mit der rechtswidrigen Einreise und dem rechtswidrigen Aufenthalt des Beschwerdeführers, mit der eine Gefährdung der öffentlichen Sicherheit und Ordnung einhergehe (Art. 67 Abs. 1 Bst. c AIG).</w:t>
      </w:r>
    </w:p>
    <w:p>
      <w:r>
        <w:rPr>
          <w:b/>
        </w:rPr>
        <w:t>E. 5.2</w:t>
      </w:r>
    </w:p>
    <w:p>
      <w:r>
        <w:t>Der Beschwerdeführer wendet ein, er hätte gestützt auf At. 26c der Ver- ordnung vom 11. August 1999 über den Vollzug der Weg- und Ausweisung sowie der Landesverweisung von ausländischen Personen (VVWAL; SR 142.281) formlos aufgefordert werden sollen, sich zurück nach Frankreich zu begeben. Dies sei jedoch nicht geschehen. Entsprechend sei die Weg- weisung nicht zulässig gewesen, weshalb auch kein Einreiseverbot ausge- sprochen werden könne. Eine Verfügung ohne vorgängige Aufforderung sei nur zulässig, wenn die sofortige Ausreise aus Gründen der öffentlichen Sicherheit und Ordnung oder der inneren oder äusseren Sicherheit ange- zeigt sei (Art. 64 Abs. 2 AIG). Eine solche Gefährdung der öffentlichen Si- cherheit und Ordnung sei nicht gegeben. Er sei weder rechtswidrig einge- reist noch habe er sich illegal in der Schweiz aufgehalten. Er habe beim Grenzübertritt und während seines Aufenthaltes seine französische «carte de séjour» bei sich getragen. Diese sei als Reisedokument im Sinn von</w:t>
      </w:r>
    </w:p>
    <w:p>
      <w:r>
        <w:t>F-7678/2024 Seite 9 Art. 5 Abs. 1 Bst. a AIG anerkannt. Bei der rechtswidrigen Einreise und dem rechtswidrigen Aufenthalt habe es sich – wenn überhaupt – um ein Verse- hen gehandelt. Ihm könne eine günstige Legalprognose gestellt werden. In Bezug auf seinen Eventualantrag hält er fest, dass seine beiden Söhne und seine Ehefrau in der Schweiz leben würden. Er habe somit ein achtens- wertes privates Interesse an der Einreise. Ferner handle es sich um einen einmaligen Verstoss gegen eine Verwaltungsvorschrift. In seiner Eingabe vom 5. Mai 2025 hält der Beschwerdeführer mit Verweis auf die Einstellungsverfügung der Staatsanwaltschaft C._______ vom</w:t>
      </w:r>
    </w:p>
    <w:p>
      <w:r>
        <w:rPr>
          <w:b/>
        </w:rPr>
        <w:t>E. 5.3</w:t>
      </w:r>
    </w:p>
    <w:p>
      <w:r>
        <w:t>In ihrer ergänzenden Vernehmlassung vom 13. Mai 2025 hält die Vorinstanz fest, entgegen der Auffassung der Staatsanwaltschaft C._______ in der Einstellungsverfügung vom 8. April 2025 müssten Dritt- staatsangehörige für die Einreise in die Schweiz neben einem gültigen Auf- enthaltstitel eines Schengen-Staats auch ein anerkanntes Reisedokument vorweisen. Die französische «carte de séjour» stelle kein für den Grenz- übertritt anerkanntes Ausweispapier im Sinn von Art. 5 Abs. 1 Bst. a AIG dar, sondern sei ein von einem Schengen-Staat ausgestellter Aufenthalts- titel, welcher gemäss Art. 8 Abs. 2 Bst. a der Verordnung vom 15. August 2018 über die Einreise und die Visumserteilung (VEV; SR 142.204) einen visumspflichtigen Drittstaatsangehörigen für einen kurzfristigen Aufenthalt von der Visumspflicht befreie. Die Pflicht, für einen kurzfristigen Aufenthalt ein gültiges Reisedokument zu besitzen, welche in Art. 6 Abs. 1 VEV fest- geschrieben sei, bestehe weiterhin. Dies hätte der Beschwerdeführer auf der Webseite des SEM unter «FAQ-Einreise» unter den Ziff. 1 und 3 nach- lesen können. Ausnahmen würden lediglich für Personen gelten, die Inha- ber eines gültigen Aufenthaltstitels oder eines D-Visums seien, welche von einem Schengen-Staat ausgestellt worden seien, zwecks Transits in den ausstellenden Staat. Der Beschwerdeführer habe sich jedoch mehrere Tage in der Schweiz aufgehalten und sei eingereist, um seine Frau zu be- suchen, ohne im Besitz eines nigerianischen Reisepasses zu sein.</w:t>
      </w:r>
    </w:p>
    <w:p>
      <w:r>
        <w:t>F-7678/2024 Seite 10</w:t>
      </w:r>
    </w:p>
    <w:p>
      <w:r>
        <w:rPr>
          <w:b/>
        </w:rPr>
        <w:t>E. 5.4</w:t>
      </w:r>
    </w:p>
    <w:p>
      <w:r>
        <w:t>In seiner Replik vom 4. Juni 2025 ergänzt der Beschwerdeführer, es sei nicht haltbar, ihm als rechtlichem Laien vorzuwerfen, er habe bewusst gegen die Einreisevorschriften verstossen, nachdem die Staatsanwalt- schaft keinen Verstoss gegen die Einreisebestimmungen habe feststellen können. Das Einreiseverbot sei vor diesem Hintergrund nicht verhältnis- mässig. 6. 6.1 Die Einreisevoraussetzungen für kurzfristige Aufenthalte richten sich nach Art. 6 der Verordnung (EG) Nr. 2016/399 des Europäischen Parla- ments und des Rates vom 9. März 2016 über einen Gemeinschaftskodex für das Überschreiten der Grenzen durch Personen (Schengener Grenz- kodex, SGK, Abl. L 77/1 vom 23.03.2016; Art. 2. Abs. 4 AIG und Art. 3 Abs. 1 VEV). Gemäss Art. 6 Abs. 1 Bst. a und Bst. b SGK müssen Dritt- staatsangehörige über ein für den Grenzübertritt anerkanntes Reisedoku- ment und über ein Visum verfügen, sofern dies erforderlich ist. Von der Visumspflicht befreit sind Personen, die Inhaber eines gültigen Aufenthalts- titels eines Schengen-Staates sind oder über ein Visum zum längerfristigen Aufenthalt verfügen. Die Liste der von der Schweiz für die Einreise aner- kannten Reisedokumente ist abrufbar auf der Webseite des SEM (Über- sicht der Ausweis- und Visumvorschriften nach Staatsangehörigkeit [An- hang CH-1, Liste 1], Version vom 30. Mai 2025, &lt; https://www.sem.ad- min.ch/dam/sem/de/data/rechtsgrundlagen/weisungen/visa/bfm/bfm- anh01-liste1-d.pdf.download.pdf/sem-anh01-liste1-d.pdf &gt; mit Verweis auf Europäische Kommission, Travel documents issued by Member States [Part II], 15. Mai 2025, &lt; https://home-affairs.ec.eu- ropa.eu/document/download/86436be0-dc08-4807-914c-3e875ed5fb76 _en?filename=part_ii_travel_documents_issued_by_member_sta- tes_en.xlsx &gt;, beide abgerufen am 21.07.2025; vgl. zum Ganzen TOBIAS GRASDORF-MEYER, in: Handkommentar AIG, 2. Aufl. 2024, Art. 5 N 28 ff. S. 70 f.). Wird bei einer Kontrolle festgestellt, dass ein Drittstaatsangehöri- ger die Einreisevoraussetzungen nicht oder nicht mehr erfüllt, wird sein Aufenthalt als illegal angesehen (vgl. Art. 3 Ziff. 2 der Rückführungsrichtli- nie 2008/115/EG vom 16. Dezember 2008, ABl. L 348/98 vom 24.12.2008). 6.2 Unbestritten ist, dass der Beschwerdeführer ohne Reisepass in die Schweiz eingereist ist (vgl. Einvernahme durch die Stadtpolizei B._______ vom 27. Oktober 2024). Bestritten hingegen ist, ob der französische Auf- enthaltstitel als gültiges Reisedokument im Sinn von Art. 6 Abs. 1 Bst. a SGK gilt.</w:t>
      </w:r>
    </w:p>
    <w:p>
      <w:r>
        <w:t>F-7678/2024 Seite 11 6.3 In Übereinstimmung mit den Ausführungen der Vorinstanz befreit der französische Aufenthaltstitel den Beschwerdeführer gemäss Art. 6 Abs. 1 Bst. b SGK von der Visumspflicht, jedoch nicht vom Erfordernis eines im Sinn von Art. 6 Abs. 1 Bst. a SGK anerkannten Reisedokuments (vgl. zum Ganzen GRASDORF-MEYER, a.a.O., Art. 5 N 28 ff. S. 70 f.). Die französische «carte de séjour» gilt nicht als anerkanntes Reisedokument (s. SEM, Über- sicht der Ausweis- und Visumvorschriften nach Staatsangehörigkeit [An- hang CH-1, Liste 1], Version vom 30. Mai 2025, &lt; https://www.sem.ad- min.ch/dam/sem/de/data/rechtsgrundlagen/weisungen/visa/bfm/bfm- anh01-liste1-d.pdf.download.pdf/sem-anh01-liste1-d.pdf &gt;, abgerufen am 21.07.2025 und Europäische Kommission, Travel documents issued by Member States [Part II], 15. Mai 2025, &lt; https://home-affairs.ec.eu- ropa.eu/document/download/86436be0-dc08-4807-914c-3e875ed5fb76 _en?filename=part_ii_travel_documents_issued_by_member_sta- tes_en.xlsx &gt;, abgerufen am 21.07.2025; vgl. auch SEM, FAQ-Einreise, Ziff. 1.3.2, 1.4 und 1.6.3, &lt; https://www.sem.admin.ch/sem/de/home/the- men/einreise/faq.html &gt;, abgerufen am 24.07.2025). 6.4 Der Einwand des Beschwerdeführers, seine Wegweisung und als Folge davon das Einreiseverbot seien mit Verweis auf Art. 64c Abs. 1 Bst. a AIG und Art. 26c VVWAL nicht zulässig, läuft ins Leere, da diese Bestim- mungen die Form einer Wegweisung, nicht jedoch deren Rechtmässigkeit beschlagen. Überdies sieht Art. 64 Abs. 2 dritter Satz AIG eine Ausnahme von der formlosen Wegweisung vor und schreibt vor, dass ohne vorgängige Aufforderung eine Verfügung zu erlassen ist, wenn die sofortige Ausreise aus Gründen der öffentlichen Sicherheit und Ordnung oder der inneren oder äusseren Sicherheit angezeigt ist. 6.5 Aus dem Gesagten folgt, dass der Beschwerdeführer gegen die Einrei- sevorschriften gemäss Art. 6 Abs. 1 Bst. a SGK verstossen hat. Entspre- chend ist auch sein Aufenthalt als rechtswidrig zu betrachten (s. Art. 3 Ziff. 2 Rückführungsrichtlinie). Dadurch hat er gegen die öffentliche Sicher- heit und Ordnung verstossen und den Fernhaltegrund nach Art. 67 Abs. 1 Bst. c AIG gesetzt. 6.6 Die Staatsanwaltschaft C._______ hat das Verfahren gegen den Be- schwerdeführer mit Einstellungsverfügung vom 8. April 2025 wegen rechtswidriger Einreise und rechtswidrigen Aufenthalts eingestellt. Dabei hat sie festgehalten, der Beschwerdeführer habe bei seiner Einreise sowie während seines Aufenthalts über ein anerkanntes Ausweispapier i.S.v. Art. 5 Abs. 1 Bst. a AIG verfügt, weshalb er sich nicht der widerrechtlichen</w:t>
      </w:r>
    </w:p>
    <w:p>
      <w:r>
        <w:t>F-7678/2024 Seite 12 Einreise und auch nicht des widerrechtlichen Aufenthalts strafbar gemacht habe. Worauf die Staatsanwaltschaft ihre Ansicht stützt, ist der Einstel- lungsverfügung nicht zu entnehmen. Wie aus E. 4.4 hervorgeht, steht diese dem Erlass eines Einreiseverbotes nicht entgegen, bezieht sich die Bin- dungswirkung des strafrechtlichen Urteils doch auf die Feststellung der Tat- sachen und nicht auf die rechtliche Würdigung. Vorliegend hat die zustän- dige Staatsanwaltschaft das fragliche Verhalten des Beschwerdeführers ohnehin keiner umfassenden und eingehenden materiellen Prüfung unter- zogen. Eine Bindungswirkung der Einstellungsverfügung vom 8. April 2025 beim Entscheid über eine Fernhaltemassnahme ist zu verneinen. 7. 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ferner statt vieler HÄFE- LIN/MÜLLER/UHLMANN, Allgemeines Verwaltungsrecht, 8. Aufl. 2020, Rz. 555 ff.). 7.1 Der Beschwerdeführer hat gegen eine ausländerrechtliche Bestim- mung verstossen. Der Einhaltung ausländerrechtlicher Normen kommt eine hohe Bedeutung zu, geht es doch darum, eine funktionierende Rechtsordnung gewährleisten zu können. Entsprechend ist die ausländer- rechtliche Ordnung durch eine konsequente Massnahmenpraxis zu schüt- zen (BVGE 2014/20 E. 8.2; Urteil des BVGer F-594/2023 vom 29. Januar 2024 E. 9.3). Es besteht daher bereits aus generalpräventiven Gründen ein öffentliches Interesse an einer zeitlich befristeten Fernhaltung des Be- schwerdeführers. Das Einreiseverbot erscheint auch aus spezialpräven- tiven Gründen angezeigt, um ihn bei künftigen Aufenthalten in der Schweiz von einem Verstoss gegen die öffentliche Sicherheit und Ordnung abzuhal- ten. Es besteht somit ein öffentliches Interesse an der befristeten Fernhal- tung des Beschwerdeführers.</w:t>
      </w:r>
    </w:p>
    <w:p>
      <w:r>
        <w:t>F-7678/2024 Seite 13 7.2 Die Ehefrau und die volljährigen Kinder des Beschwerdeführers leben in der Schweiz. Entsprechend ist sein privates Interesse an ungehinderten Einreisen in die Schweiz nicht unerheblich. Es steht der Familie jedoch frei, sich ausserhalb der Schweiz, namentlich in Frankreich, wo der Beschwer- deführer über eine Aufenthaltsbewilligung verfügt, zu treffen. Ferner kann das Einreiseverbot zur Wahrnehmung von Besuchen von Familienangehö- rigen auf begründetes Gesuch hin für eine kurze Zeitspanne suspendiert werden (vgl. E. 4.2). Nicht beeinträchtigt wird ferner die Pflege der Kontakte auf andere Weise als durch persönliche Treffen, namentlich mittels moder- ner Kommunikationsmittel. 7.3 Eine wertende Gewichtung der sich gegenüberstehenden Interessen unter Berücksichtigung der Praxis in ähnlich gelagerten Fällen führt zum Ergebnis, dass ein auf ein Jahr befristetes Einreiseverbot dem Grundsatz nach und in Bezug auf seine Dauer eine verhältnismässige und angemes- sene Massnahme zum Schutz der öffentlichen Sicherheit und Ordnung darstellt.</w:t>
      </w:r>
    </w:p>
    <w:p>
      <w:r>
        <w:rPr>
          <w:b/>
        </w:rPr>
        <w:t>E. 6.1</w:t>
      </w:r>
    </w:p>
    <w:p>
      <w:r>
        <w:t>Die Einreisevoraussetzungen für kurzfristige Aufenthalte richten sich nach Art. 6 der Verordnung (EG) Nr. 2016/399 des Europäischen Parlaments und des Rates vom 9. März 2016 über einen Gemeinschaftskodex für das Überschreiten der Grenzen durch Personen (Schengener Grenzkodex, SGK, Abl. L 77/1 vom 23.03.2016; Art. 2. Abs. 4 AIG und Art. 3 Abs. 1 VEV). Gemäss Art. 6 Abs. 1 Bst. a und Bst. b SGK müssen Drittstaatsangehörige über ein für den Grenzübertritt anerkanntes Reisedokument und über ein Visum verfügen, sofern dies erforderlich ist. Von der Visumspflicht befreit sind Personen, die Inhaber eines gültigen Aufenthaltstitels eines Schengen-Staates sind oder über ein Visum zum längerfristigen Aufenthalt verfügen. Die Liste der von der Schweiz für die Einreise anerkannten Reisedokumente ist abrufbar auf der Webseite des SEM (Übersicht der Ausweis- und Visumvorschriften nach Staatsangehörigkeit [Anhang CH-1, Liste 1], Version vom 30. Mai 2025, &lt; https://www.sem.admin.ch/dam/sem/de/data/rechtsgrundlagen/weisungen/visa/bfm/bfm-anh01-liste1-d.pdf.download.pdf/sem-anh01-liste1-d.pdf &gt; mit Verweis auf Europäische Kommission, Travel documents issued by Member States [Part II], 15. Mai 2025, &lt; https://home-affairs.ec.europa.eu/document/download/86436be0-dc08-4807-914c-3e875ed5fb76 _en?filename=part_ii_travel_documents_issued_by_member_states_en.xlsx &gt;, beide abgerufen am 21.07.2025; vgl. zum Ganzen Tobias Grasdorf-Meyer, in: Handkommentar AIG, 2. Aufl. 2024, Art. 5 N 28 ff. S. 70 f.). Wird bei einer Kontrolle festgestellt, dass ein Drittstaatsangehöriger die Einreisevoraussetzungen nicht oder nicht mehr erfüllt, wird sein Aufenthalt als illegal angesehen (vgl. Art. 3 Ziff. 2 der Rückführungsrichtlinie 2008/115/EG vom 16. Dezember 2008, ABl. L 348/98 vom 24.12.2008).</w:t>
      </w:r>
    </w:p>
    <w:p>
      <w:r>
        <w:rPr>
          <w:b/>
        </w:rPr>
        <w:t>E. 6.2</w:t>
      </w:r>
    </w:p>
    <w:p>
      <w:r>
        <w:t>Unbestritten ist, dass der Beschwerdeführer ohne Reisepass in die Schweiz eingereist ist (vgl. Einvernahme durch die Stadtpolizei B._______ vom 27. Oktober 2024). Bestritten hingegen ist, ob der französische Aufenthaltstitel als gültiges Reisedokument im Sinn von Art. 6 Abs. 1 Bst. a SGK gilt.</w:t>
      </w:r>
    </w:p>
    <w:p>
      <w:r>
        <w:rPr>
          <w:b/>
        </w:rPr>
        <w:t>E. 6.3</w:t>
      </w:r>
    </w:p>
    <w:p>
      <w:r>
        <w:t>In Übereinstimmung mit den Ausführungen der Vorinstanz befreit der französische Aufenthaltstitel den Beschwerdeführer gemäss Art. 6 Abs. 1 Bst. b SGK von der Visumspflicht, jedoch nicht vom Erfordernis eines im Sinn von Art. 6 Abs. 1 Bst. a SGK anerkannten Reisedokuments (vgl. zum Ganzen Grasdorf-Meyer, a.a.O., Art. 5 N 28 ff. S. 70 f.). Die französische «carte de séjour» gilt nicht als anerkanntes Reisedokument (s. SEM, Übersicht der Ausweis- und Visumvorschriften nach Staatsangehörigkeit [Anhang CH-1, Liste 1], Version vom 30. Mai 2025, &lt; https://www.sem.admin.ch/dam/sem/de/data/rechtsgrundlagen/weisungen/visa/bfm/bfm-anh01-liste1-d.pdf.download.pdf/sem-anh01-liste1-d.pdf &gt;, abgerufen am 21.07.2025 und Europäische Kommission, Travel documents issued by Member States [Part II], 15. Mai 2025, &lt; https://home-affairs.ec.europa.eu/document/download/86436be0-dc08-4807-914c-3e875ed5fb76 _en?filename=part_ii_travel_documents_issued_by_member_states_en.xlsx &gt;, abgerufen am 21.07.2025; vgl. auch SEM, FAQ-Einreise, Ziff. 1.3.2, 1.4 und 1.6.3, &lt; https://www.sem.admin.ch/sem/de/home/themen/einreise/faq.html &gt;, abgerufen am 24.07.2025).</w:t>
      </w:r>
    </w:p>
    <w:p>
      <w:r>
        <w:rPr>
          <w:b/>
        </w:rPr>
        <w:t>E. 6.4</w:t>
      </w:r>
    </w:p>
    <w:p>
      <w:r>
        <w:t>Der Einwand des Beschwerdeführers, seine Wegweisung und als Folge davon das Einreiseverbot seien mit Verweis auf Art. 64c Abs. 1 Bst. a AIG und Art. 26c VVWAL nicht zulässig, läuft ins Leere, da diese Bestimmungen die Form einer Wegweisung, nicht jedoch deren Rechtmässigkeit beschlagen. Überdies sieht Art. 64 Abs. 2 dritter Satz AIG eine Ausnahme von der formlosen Wegweisung vor und schreibt vor, dass ohne vorgängige Aufforderung eine Verfügung zu erlassen ist, wenn die sofortige Ausreise aus Gründen der öffentlichen Sicherheit und Ordnung oder der inneren oder äusseren Sicherheit angezeigt ist.</w:t>
      </w:r>
    </w:p>
    <w:p>
      <w:r>
        <w:rPr>
          <w:b/>
        </w:rPr>
        <w:t>E. 6.5</w:t>
      </w:r>
    </w:p>
    <w:p>
      <w:r>
        <w:t>Aus dem Gesagten folgt, dass der Beschwerdeführer gegen die Einreisevorschriften gemäss Art. 6 Abs. 1 Bst. a SGK verstossen hat. Entsprechend ist auch sein Aufenthalt als rechtswidrig zu betrachten (s. Art. 3 Ziff. 2 Rückführungsrichtlinie). Dadurch hat er gegen die öffentliche Sicherheit und Ordnung verstossen und den Fernhaltegrund nach Art. 67 Abs. 1 Bst. c AIG gesetzt.</w:t>
      </w:r>
    </w:p>
    <w:p>
      <w:r>
        <w:rPr>
          <w:b/>
        </w:rPr>
        <w:t>E. 6.6</w:t>
      </w:r>
    </w:p>
    <w:p>
      <w:r>
        <w:t>Die Staatsanwaltschaft C._______ hat das Verfahren gegen den Beschwerdeführer mit Einstellungsverfügung vom 8. April 2025 wegen rechtswidriger Einreise und rechtswidrigen Aufenthalts eingestellt. Dabei hat sie festgehalten, der Beschwerdeführer habe bei seiner Einreise sowie während seines Aufenthalts über ein anerkanntes Ausweispapier i.S.v. Art. 5 Abs. 1 Bst. a AIG verfügt, weshalb er sich nicht der widerrechtlichen Einreise und auch nicht des widerrechtlichen Aufenthalts strafbar gemacht habe. Worauf die Staatsanwaltschaft ihre Ansicht stützt, ist der Einstellungsverfügung nicht zu entnehmen. Wie aus E. 4.4 hervorgeht, steht diese dem Erlass eines Einreiseverbotes nicht entgegen, bezieht sich die Bindungswirkung des strafrechtlichen Urteils doch auf die Feststellung der Tatsachen und nicht auf die rechtliche Würdigung. Vorliegend hat die zuständige Staatsanwaltschaft das fragliche Verhalten des Beschwerdeführers ohnehin keiner umfassenden und eingehenden materiellen Prüfung unterzogen. Eine Bindungswirkung der Einstellungsverfügung vom 8. April 2025 beim Entscheid über eine Fernhaltemassnahme ist zu verneinen.</w:t>
      </w:r>
    </w:p>
    <w:p>
      <w:r>
        <w:rPr>
          <w:b/>
        </w:rPr>
        <w:t>E. 7</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ferner statt vieler Häfelin/Müller/Uhlmann, Allgemeines Verwaltungsrecht, 8. Aufl. 2020, Rz. 555 ff.).</w:t>
      </w:r>
    </w:p>
    <w:p>
      <w:r>
        <w:rPr>
          <w:b/>
        </w:rPr>
        <w:t>E. 7.1</w:t>
      </w:r>
    </w:p>
    <w:p>
      <w:r>
        <w:t>Der Beschwerdeführer hat gegen eine ausländerrechtliche Bestimmung verstossen. Der Einhaltung ausländerrechtlicher Normen kommt eine hohe Bedeutung zu, geht es doch darum, eine funktionierende Rechtsordnung gewährleisten zu können. Entsprechend ist die ausländerrechtliche Ordnung durch eine konsequente Massnahmenpraxis zu schützen (BVGE 2014/20 E. 8.2; Urteil des BVGer F-594/2023 vom 29. Januar 2024 E. 9.3). Es besteht daher bereits aus generalpräventiven Gründen ein öffentliches Interesse an einer zeitlich befristeten Fernhaltung des Beschwerdeführers. Das Einreiseverbot erscheint auch aus spezialpräventiven Gründen angezeigt, um ihn bei künftigen Aufenthalten in der Schweiz von einem Verstoss gegen die öffentliche Sicherheit und Ordnung abzuhalten. Es besteht somit ein öffentliches Interesse an der befristeten Fernhaltung des Beschwerdeführers.</w:t>
      </w:r>
    </w:p>
    <w:p>
      <w:r>
        <w:rPr>
          <w:b/>
        </w:rPr>
        <w:t>E. 7.2</w:t>
      </w:r>
    </w:p>
    <w:p>
      <w:r>
        <w:t>Die Ehefrau und die volljährigen Kinder des Beschwerdeführers leben in der Schweiz. Entsprechend ist sein privates Interesse an ungehinderten Einreisen in die Schweiz nicht unerheblich. Es steht der Familie jedoch frei, sich ausserhalb der Schweiz, namentlich in Frankreich, wo der Beschwerdeführer über eine Aufenthaltsbewilligung verfügt, zu treffen. Ferner kann das Einreiseverbot zur Wahrnehmung von Besuchen von Familienangehörigen auf begründetes Gesuch hin für eine kurze Zeitspanne suspendiert werden (vgl. E. 4.2). Nicht beeinträchtigt wird ferner die Pflege der Kontakte auf andere Weise als durch persönliche Treffen, namentlich mittels moderner Kommunikationsmittel.</w:t>
      </w:r>
    </w:p>
    <w:p>
      <w:r>
        <w:rPr>
          <w:b/>
        </w:rPr>
        <w:t>E. 7.3</w:t>
      </w:r>
    </w:p>
    <w:p>
      <w:r>
        <w:t>Eine wertende Gewichtung der sich gegenüberstehenden Interessen unter Berücksichtigung der Praxis in ähnlich gelagerten Fällen führt zum Ergebnis, dass ein auf ein Jahr befristetes Einreiseverbot dem Grundsatz nach und in Bezug auf seine Dauer eine verhältnismässige und angemessene Massnahme zum Schutz der öffentlichen Sicherheit und Ordnung darstellt.</w:t>
      </w:r>
    </w:p>
    <w:p>
      <w:r>
        <w:rPr>
          <w:b/>
        </w:rPr>
        <w:t>E. 8</w:t>
      </w:r>
    </w:p>
    <w:p>
      <w:r>
        <w:t>Zusammenfassend ist festzuhalten, dass die Vorinstanz dem Beschwerde- führer zu Recht ein einjähriges Einreiseverbot auferlegt hat. Folglich ist die- ses im Licht von Art. 49 VwVG nicht zu beanstanden. Die Beschwerde ist daher abzuweisen, soweit sie nicht durch die Wiedererwägung der Vor- instanz gegenstandslos geworden ist.</w:t>
      </w:r>
    </w:p>
    <w:p>
      <w:r>
        <w:rPr>
          <w:b/>
        </w:rPr>
        <w:t>E. 9.1</w:t>
      </w:r>
    </w:p>
    <w:p>
      <w:r>
        <w:t>Bei diesem Verfahrensausgang ist aufgrund der teilweisen Wiederer- wägung von einem hälftigen Obsiegen des Beschwerdeführers auszuge- hen, womit er die anteilig anfallenden Verfahrenskosten zu tragen hätte (Art. 63 Abs. 1 VwVG; Art. 1–3 des Reglements vom 21. Februar 2008 über die Kosten und Entschädigungen vor dem Bundesverwaltungsgericht [VGKE, SR 173.320.2]). Angesichts der Gewährung der unentgeltlichen Prozessführung nach Art. 65 Abs. 1 VwVG ist auf die Erhebung von Ver- fahrenskosten zu verzichten.</w:t>
      </w:r>
    </w:p>
    <w:p>
      <w:r>
        <w:rPr>
          <w:b/>
        </w:rPr>
        <w:t>E. 9.2</w:t>
      </w:r>
    </w:p>
    <w:p>
      <w:r>
        <w:t>Dem Beschwerdeführer ist aufgrund seines teilweisen Obsiegens für die notwendigen Kosten der Rechtsvertretung gemäss Art. 64 Abs. 1 VwVG i.V.m. Art. 7 ff. VGKE eine gekürzte Parteientschädigung zuzuspre- chen. Mangels Kostennote ist die Höhe der Parteientschädigung aufgrund der Akten festzulegen. Mit Blick auf den aktenkundigen Aufwand und die Komplexität der Streitsache sowie in Anwendung der gesetzlichen</w:t>
      </w:r>
    </w:p>
    <w:p>
      <w:r>
        <w:t>F-7678/2024 Seite 14 Bemessungskriterien von Art. 8 ff. VGKE erscheint eine Parteientschädi- gung von Fr. 1'400.– als angemessen. Weil der Wohnsitz des Beschwer- deführers als Empfänger der anwaltschaftlichen Dienstleistung im Ausland liegt, ist kein Zuschlag für die Mehrwertsteuer auszurichten (Art. 1 Abs. 2 i.V.m. Art. 8 Abs. 1 und 18 Abs. 1 MWSTG [SR 641.20] sowie Art. 9 Abs. 1 Bst. c VGKE; vgl. auch Urteil des BVGer F-3614/2019 vom 30. April 2020 E. 8.2). Im Umfang seines hälftigen Obsiegens ist ihm folglich eine von der Vorinstanz auszurichtende Parteientschädigung in Höhe von Fr. 700.– zu- zusprechen. Sodann ist die Heilung der Gehörsverletzung im Kostenpunkt ebenfalls zu berücksichtigen (s. E. 3.6). Die Parteientschädigung ist somit auf Fr. 900.– festzusetzen.</w:t>
      </w:r>
    </w:p>
    <w:p>
      <w:r>
        <w:rPr>
          <w:b/>
        </w:rPr>
        <w:t>E. 9.3</w:t>
      </w:r>
    </w:p>
    <w:p>
      <w:r>
        <w:t>Das amtliche Honorar ist entsprechend auf Fr. 540.50 (Fr. 1'400 – Fr. 900 = Fr. 500.– zzgl. Mehrwertsteuerzuschlag von 8.1 % im Sinn von Art. 9 Abs. 1 Bst. c VGKE) festzusetzen.</w:t>
      </w:r>
    </w:p>
    <w:p>
      <w:r>
        <w:t>F-7678/2024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