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F-7678/2024 vom 8. September 2025</w:t>
      </w:r>
    </w:p>
    <w:p>
      <w:r>
        <w:t>Bundesverwaltungsgericht, 2025-09-08, DE</w:t>
      </w:r>
    </w:p>
    <w:p>
      <w:r>
        <w:rPr>
          <w:b/>
        </w:rPr>
        <w:t xml:space="preserve">Quelle: </w:t>
      </w:r>
      <w:r>
        <w:t>https://mcp.opencaselaw.ch/entscheid/bvger_F-7678_2024</w:t>
      </w:r>
    </w:p>
    <w:p>
      <w:r>
        <w:t>FR: TAF F-7678/2024 du 8 septembre 2025</w:t>
      </w:r>
    </w:p>
    <w:p>
      <w:r>
        <w:t>IT: TAF F-7678/2024 del 8 settembre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Auch die übrigen Sachurteilsvoraussetzungen (Rechtsmittelfrist [Art. 50 Abs. 1 VwVG] und Form der Beschwerde [Art. 52 VwVG]) sind er- 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Zu prüfen ist vorab, ob die Vorinstanz – wie vom Beschwerdeführer geltend gemacht – seinen Anspruch auf rechtliches Gehör verletzt hat.</w:t>
      </w:r>
    </w:p>
    <w:p>
      <w:r>
        <w:rPr>
          <w:b/>
        </w:rPr>
        <w:t>E. 3.2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w:t>
      </w:r>
    </w:p>
    <w:p>
      <w:r>
        <w:t>F-7678/2024 Seite 5 Dies gilt für alle form- und fristgerechten Äusserungen, Eingaben und An- träge, die zur Klärung der konkreten Streitfrage geeignet und erforderlich erscheinen (Art. 32 VwVG). Aus dem Anspruch auf rechtliches Gehör folgt auch die grundsätzliche Pflicht der Behörden, ihren Entscheid zu begrün- den (Art. 35 VwVG). Die Begründung muss so abgefasst sein, dass der Betroffene den Entscheid gegebenenfalls sachgerecht anfechten kann. Sie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 Einer geheilten Gehörsverletzung kann im Kostenpunkt Rechnung getragen werden.</w:t>
      </w:r>
    </w:p>
    <w:p>
      <w:r>
        <w:rPr>
          <w:b/>
        </w:rPr>
        <w:t>E. 3.4</w:t>
      </w:r>
    </w:p>
    <w:p>
      <w:r>
        <w:t>Der Beschwerdeführer macht geltend, ihm sei vor Erlass der angefoch- tenen Verfügung keine Möglichkeit zur Stellungnahme eingeräumt worden. Dem Beschwerdeführer wurde im Rahmen der Einvernahme durch die Stadtpolizei B._______ vom 27. Oktober 2024 das rechtliche Gehör zu ei- ner allfälligen Verhängung eines Einreiseverbots gewährt.</w:t>
      </w:r>
    </w:p>
    <w:p>
      <w:r>
        <w:rPr>
          <w:b/>
        </w:rPr>
        <w:t>E. 3.5</w:t>
      </w:r>
    </w:p>
    <w:p>
      <w:r>
        <w:t>Der Beschwerdeführer führt an, die Vorinstanz habe mit ihrer pauscha- len Begründung die Substantiierungspflicht verletzt. Es sei ihm nicht mög- lich nachzuvollziehen, von welchen Gründen sich die Behörde bei ihrem Entscheid habe leiten lassen.</w:t>
      </w:r>
    </w:p>
    <w:p>
      <w:r>
        <w:t>F-7678/2024 Seite 6 Die Vorinstanz hält in der angefochtenen Verfügung fest, bei einer Kontrolle am 26. Oktober 2024 sei festgestellt worden, dass der Beschwerdeführer illegal in die Schweiz eingereist sei und sich hier rechtswidrig aufgehalten habe. Damit hat sie dargelegt, worauf sie ihren Entscheid stützt, und es war dem Beschwerdeführer möglich, den Entscheid sachgerecht anzu- fechten.</w:t>
      </w:r>
    </w:p>
    <w:p>
      <w:r>
        <w:rPr>
          <w:b/>
        </w:rPr>
        <w:t>E. 3.6</w:t>
      </w:r>
    </w:p>
    <w:p>
      <w:r>
        <w:t>Der Beschwerdeführer macht geltend, die Vorinstanz habe seine priva- ten Interessen – sein Sohn lebe in der Schweiz – in der Interessenabwä- gung nicht berücksichtigt. Aus den Akten geht hervor, dass der Beschwerdeführer in die Schweiz ein- gereist ist, um den Geburtstag seines in der Schweiz lebenden Sohnes zu feiern. Die angefochtene Verfügung äussert sich zur Anwesenheit des Soh- nes des Beschwerdeführers in der Schweiz nicht und berücksichtigt dies entsprechend auch nicht in der Verhältnismässigkeitsprüfung, was eine Verletzung der Begründungspflicht darstellt (vgl. Urteil des BGer 2C_1020/2019 vom 31. März 2020 E. 3.4.6). Der anwaltlich vertretene Be- schwerdeführer hatte jedoch die Möglichkeit, sich im vorliegenden Be- schwerdeverfahren, in dem das Bundesverwaltungsgericht sowohl den Sachverhalt als auch die Rechtslage frei überprüfen kann (vgl. E. 2), zu äussern und seine privaten Interessen darzulegen. Die Gehörsverletzung ist damit geheilt. Ihr ist im Kostenpunkt Rechnung zu tragen (s. E. 9).</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Die verfügende Be- hörde kann ausnahmsweise aus humanitären oder anderen wichtigen</w:t>
      </w:r>
    </w:p>
    <w:p>
      <w:r>
        <w:t>F-7678/2024 Seite 7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F-979/2023 vom 20. Januar 2024 E. 4.4).</w:t>
      </w:r>
    </w:p>
    <w:p>
      <w:r>
        <w:rPr>
          <w:b/>
        </w:rPr>
        <w:t>E. 4.4</w:t>
      </w:r>
    </w:p>
    <w:p>
      <w:r>
        <w:t>Ein Einreiseverbot kann unabhängig von einem Strafverfahren erlas- sen werden und grundsätzlich auch dann verhängt werden, wenn ein rechtskräftiges Strafurteil fehlt, so weil ein Strafverfahren nicht eröffnet wurde, noch hängig ist oder wie in diesem Fall eingestellt wurde (vgl. dazu anstelle vieler: Urteile des BVGer F-3903/2020 vom 14. Mai 2021 E. 5.2.1; F-6906/2018 vom 10. Dezember 2019 E. 4.3; F-5969/2016 vom 28. Sep- tember 2017 E. 6.4). Eine strafrechtliche Verurteilung ist keine notwendige Voraussetzung für eine Fernhaltemassnahme. Dies ergibt sich daraus, dass eine Störung der öffentlichen Sicherheit und Ordnung an eine Polizei- gefahr anknüpft, unabhängig davon, ob die entsprechende Handlung straf- rechtlich verfolgt wird beziehungsweise verfolgt werden kann. Ob eine</w:t>
      </w:r>
    </w:p>
    <w:p>
      <w:r>
        <w:t>F-7678/2024 Seite 8 solche Störung besteht und wie diese zu gewichten ist, hat die Verwal- tungsbehörde in eigener Kompetenz unter Zugrundelegung ausländer- rechtlicher Kriterien zu beurteilen. Es genügt, dass Verdachtsmomente vor- liegen, die von der Behörde als hinreichend konkret erachtet werden (vgl. Urteile des BVGer F-47/2024 vom 5. November 2024 E.6.3; F-5013/2021 vom 28. Juli 2023 E. 6.7). Die Einstellung des Strafverfahrens hat somit keinen unmittelbaren Einfluss auf das verwaltungsrechtliche Verfahren. Die Grundsätze der Einheit der Rechtsordnung und der Rechtssicherheit gebieten allerdings, dass widersprüchliche Entscheide zwischen Straf- und Administrativbehörden im Rahmen des Möglichen zu vermeiden sind, so- weit sie auf den gleichen Tatsachen beruhen (BGE 139 II 95 E. 3.2; 137 I 363 E. 2.3.2; 124 II 103 E. 1c/aa und bb; Urteil des BGer 1C_98/2017 vom 2. Juni 2017 E. 2.4; Urteil des BVGer F-3903/2020 vom 14. Mai 2021 E. 5.2.1). In diesem Sinn entfernt sich das Bundesverwaltungsgericht grundsätzlich nicht ohne Not von den tatbeständlichen Feststellungen (ge- meint: Feststellungen des Sachverhalts) des Strafgerichts. Soweit eine Bindungswirkung des strafrechtlichen Urteils beziehungsweise der Einstel- lung des Strafverfahrens zum Tragen kommt, bezieht sich diese im vorlie- genden Zusammenhang ausschliesslich auf die Tatsachenfeststellungen des Strafgerichts.</w:t>
      </w:r>
    </w:p>
    <w:p>
      <w:r>
        <w:rPr>
          <w:b/>
        </w:rPr>
        <w:t>E. 5.1</w:t>
      </w:r>
    </w:p>
    <w:p>
      <w:r>
        <w:t>Die Vorinstanz begründet das Einreiseverbot mit der rechtswidrigen Einreise und dem rechtswidrigen Aufenthalt des Beschwerdeführers, mit der eine Gefährdung der öffentlichen Sicherheit und Ordnung einhergehe (Art. 67 Abs. 1 Bst. c AIG).</w:t>
      </w:r>
    </w:p>
    <w:p>
      <w:r>
        <w:rPr>
          <w:b/>
        </w:rPr>
        <w:t>E. 5.2</w:t>
      </w:r>
    </w:p>
    <w:p>
      <w:r>
        <w:t>Der Beschwerdeführer wendet ein, er hätte gestützt auf At. 26c der Ver- ordnung vom 11. August 1999 über den Vollzug der Weg- und Ausweisung sowie der Landesverweisung von ausländischen Personen (VVWAL; SR 142.281) formlos aufgefordert werden sollen, sich zurück nach Frankreich zu begeben. Dies sei jedoch nicht geschehen. Entsprechend sei die Weg- weisung nicht zulässig gewesen, weshalb auch kein Einreiseverbot ausge- sprochen werden könne. Eine Verfügung ohne vorgängige Aufforderung sei nur zulässig, wenn die sofortige Ausreise aus Gründen der öffentlichen Sicherheit und Ordnung oder der inneren oder äusseren Sicherheit ange- zeigt sei (Art. 64 Abs. 2 AIG). Eine solche Gefährdung der öffentlichen Si- cherheit und Ordnung sei nicht gegeben. Er sei weder rechtswidrig einge- reist noch habe er sich illegal in der Schweiz aufgehalten. Er habe beim Grenzübertritt und während seines Aufenthaltes seine französische «carte de séjour» bei sich getragen. Diese sei als Reisedokument im Sinn von</w:t>
      </w:r>
    </w:p>
    <w:p>
      <w:r>
        <w:t>F-7678/2024 Seite 9 Art. 5 Abs. 1 Bst. a AIG anerkannt. Bei der rechtswidrigen Einreise und dem rechtswidrigen Aufenthalt habe es sich – wenn überhaupt – um ein Verse- hen gehandelt. Ihm könne eine günstige Legalprognose gestellt werden. In Bezug auf seinen Eventualantrag hält er fest, dass seine beiden Söhne und seine Ehefrau in der Schweiz leben würden. Er habe somit ein achtens- wertes privates Interesse an der Einreise. Ferner handle es sich um einen einmaligen Verstoss gegen eine Verwaltungsvorschrift. In seiner Eingabe vom 5. Mai 2025 hält der Beschwerdeführer mit Verweis auf die Einstellungsverfügung der Staatsanwaltschaft C._______ vom</w:t>
      </w:r>
    </w:p>
    <w:p>
      <w:r>
        <w:rPr>
          <w:b/>
        </w:rPr>
        <w:t>E. 5.3</w:t>
      </w:r>
    </w:p>
    <w:p>
      <w:r>
        <w:t>In ihrer ergänzenden Vernehmlassung vom 13. Mai 2025 hält die Vorinstanz fest, entgegen der Auffassung der Staatsanwaltschaft C._______ in der Einstellungsverfügung vom 8. April 2025 müssten Dritt- staatsangehörige für die Einreise in die Schweiz neben einem gültigen Auf- enthaltstitel eines Schengen-Staats auch ein anerkanntes Reisedokument vorweisen. Die französische «carte de séjour» stelle kein für den Grenz- übertritt anerkanntes Ausweispapier im Sinn von Art. 5 Abs. 1 Bst. a AIG dar, sondern sei ein von einem Schengen-Staat ausgestellter Aufenthalts- titel, welcher gemäss Art. 8 Abs. 2 Bst. a der Verordnung vom 15. August 2018 über die Einreise und die Visumserteilung (VEV; SR 142.204) einen visumspflichtigen Drittstaatsangehörigen für einen kurzfristigen Aufenthalt von der Visumspflicht befreie. Die Pflicht, für einen kurzfristigen Aufenthalt ein gültiges Reisedokument zu besitzen, welche in Art. 6 Abs. 1 VEV fest- geschrieben sei, bestehe weiterhin. Dies hätte der Beschwerdeführer auf der Webseite des SEM unter «FAQ-Einreise» unter den Ziff. 1 und 3 nach- lesen können. Ausnahmen würden lediglich für Personen gelten, die Inha- ber eines gültigen Aufenthaltstitels oder eines D-Visums seien, welche von einem Schengen-Staat ausgestellt worden seien, zwecks Transits in den ausstellenden Staat. Der Beschwerdeführer habe sich jedoch mehrere Tage in der Schweiz aufgehalten und sei eingereist, um seine Frau zu be- suchen, ohne im Besitz eines nigerianischen Reisepasses zu sein.</w:t>
      </w:r>
    </w:p>
    <w:p>
      <w:r>
        <w:t>F-7678/2024 Seite 10</w:t>
      </w:r>
    </w:p>
    <w:p>
      <w:r>
        <w:rPr>
          <w:b/>
        </w:rPr>
        <w:t>E. 5.4</w:t>
      </w:r>
    </w:p>
    <w:p>
      <w:r>
        <w:t>In seiner Replik vom 4. Juni 2025 ergänzt der Beschwerdeführer, es sei nicht haltbar, ihm als rechtlichem Laien vorzuwerfen, er habe bewusst gegen die Einreisevorschriften verstossen, nachdem die Staatsanwalt- schaft keinen Verstoss gegen die Einreisebestimmungen habe feststellen können. Das Einreiseverbot sei vor diesem Hintergrund nicht verhältnis- mässig. 6. 6.1 Die Einreisevoraussetzungen für kurzfristige Aufenthalte richten sich nach Art. 6 der Verordnung (EG) Nr. 2016/399 des Europäischen Parla- ments und des Rates vom 9. März 2016 über einen Gemeinschaftskodex für das Überschreiten der Grenzen durch Personen (Schengener Grenz- kodex, SGK, Abl. L 77/1 vom 23.03.2016; Art. 2. Abs. 4 AIG und Art. 3 Abs. 1 VEV). Gemäss Art. 6 Abs. 1 Bst. a und Bst. b SGK müssen Dritt- staatsangehörige über ein für den Grenzübertritt anerkanntes Reisedoku- ment und über ein Visum verfügen, sofern dies erforderlich ist. Von der Visumspflicht befreit sind Personen, die Inhaber eines gültigen Aufenthalts- titels eines Schengen-Staates sind oder über ein Visum zum längerfristigen Aufenthalt verfügen. Die Liste der von der Schweiz für die Einreise aner- kannten Reisedokumente ist abrufbar auf der Webseite des SEM (Über- sicht der Ausweis- und Visumvorschriften nach Staatsangehörigkeit [An- hang CH-1, Liste 1], Version vom 30. Mai 2025, &lt; https://www.sem.ad- min.ch/dam/sem/de/data/rechtsgrundlagen/weisungen/visa/bfm/bfm- anh01-liste1-d.pdf.download.pdf/sem-anh01-liste1-d.pdf &gt; mit Verweis auf Europäische Kommission, Travel documents issued by Member States [Part II], 15. Mai 2025, &lt; https://home-affairs.ec.eu- ropa.eu/document/download/86436be0-dc08-4807-914c-3e875ed5fb76 _en?filename=part_ii_travel_documents_issued_by_member_sta- tes_en.xlsx &gt;, beide abgerufen am 21.07.2025; vgl. zum Ganzen TOBIAS GRASDORF-MEYER, in: Handkommentar AIG, 2. Aufl. 2024, Art. 5 N 28 ff. S. 70 f.). Wird bei einer Kontrolle festgestellt, dass ein Drittstaatsangehöri- ger die Einreisevoraussetzungen nicht oder nicht mehr erfüllt, wird sein Aufenthalt als illegal angesehen (vgl. Art. 3 Ziff. 2 der Rückführungsrichtli- nie 2008/115/EG vom 16. Dezember 2008, ABl. L 348/98 vom 24.12.2008). 6.2 Unbestritten ist, dass der Beschwerdeführer ohne Reisepass in die Schweiz eingereist ist (vgl. Einvernahme durch die Stadtpolizei B._______ vom 27. Oktober 2024). Bestritten hingegen ist, ob der französische Auf- enthaltstitel als gültiges Reisedokument im Sinn von Art. 6 Abs. 1 Bst. a SGK gilt.</w:t>
      </w:r>
    </w:p>
    <w:p>
      <w:r>
        <w:t>F-7678/2024 Seite 11 6.3 In Übereinstimmung mit den Ausführungen der Vorinstanz befreit der französische Aufenthaltstitel den Beschwerdeführer gemäss Art. 6 Abs. 1 Bst. b SGK von der Visumspflicht, jedoch nicht vom Erfordernis eines im Sinn von Art. 6 Abs. 1 Bst. a SGK anerkannten Reisedokuments (vgl. zum Ganzen GRASDORF-MEYER, a.a.O., Art. 5 N 28 ff. S. 70 f.). Die französische «carte de séjour» gilt nicht als anerkanntes Reisedokument (s. SEM, Über- sicht der Ausweis- und Visumvorschriften nach Staatsangehörigkeit [An- hang CH-1, Liste 1], Version vom 30. Mai 2025, &lt; https://www.sem.ad- min.ch/dam/sem/de/data/rechtsgrundlagen/weisungen/visa/bfm/bfm- anh01-liste1-d.pdf.download.pdf/sem-anh01-liste1-d.pdf &gt;, abgerufen am 21.07.2025 und Europäische Kommission, Travel documents issued by Member States [Part II], 15. Mai 2025, &lt; https://home-affairs.ec.eu- ropa.eu/document/download/86436be0-dc08-4807-914c-3e875ed5fb76 _en?filename=part_ii_travel_documents_issued_by_member_sta- tes_en.xlsx &gt;, abgerufen am 21.07.2025; vgl. auch SEM, FAQ-Einreise, Ziff. 1.3.2, 1.4 und 1.6.3, &lt; https://www.sem.admin.ch/sem/de/home/the- men/einreise/faq.html &gt;, abgerufen am 24.07.2025). 6.4 Der Einwand des Beschwerdeführers, seine Wegweisung und als Folge davon das Einreiseverbot seien mit Verweis auf Art. 64c Abs. 1 Bst. a AIG und Art. 26c VVWAL nicht zulässig, läuft ins Leere, da diese Bestim- mungen die Form einer Wegweisung, nicht jedoch deren Rechtmässigkeit beschlagen. Überdies sieht Art. 64 Abs. 2 dritter Satz AIG eine Ausnahme von der formlosen Wegweisung vor und schreibt vor, dass ohne vorgängige Aufforderung eine Verfügung zu erlassen ist, wenn die sofortige Ausreise aus Gründen der öffentlichen Sicherheit und Ordnung oder der inneren oder äusseren Sicherheit angezeigt ist. 6.5 Aus dem Gesagten folgt, dass der Beschwerdeführer gegen die Einrei- sevorschriften gemäss Art. 6 Abs. 1 Bst. a SGK verstossen hat. Entspre- chend ist auch sein Aufenthalt als rechtswidrig zu betrachten (s. Art. 3 Ziff. 2 Rückführungsrichtlinie). Dadurch hat er gegen die öffentliche Sicher- heit und Ordnung verstossen und den Fernhaltegrund nach Art. 67 Abs. 1 Bst. c AIG gesetzt. 6.6 Die Staatsanwaltschaft C._______ hat das Verfahren gegen den Be- schwerdeführer mit Einstellungsverfügung vom 8. April 2025 wegen rechtswidriger Einreise und rechtswidrigen Aufenthalts eingestellt. Dabei hat sie festgehalten, der Beschwerdeführer habe bei seiner Einreise sowie während seines Aufenthalts über ein anerkanntes Ausweispapier i.S.v. Art. 5 Abs. 1 Bst. a AIG verfügt, weshalb er sich nicht der widerrechtlichen</w:t>
      </w:r>
    </w:p>
    <w:p>
      <w:r>
        <w:t>F-7678/2024 Seite 12 Einreise und auch nicht des widerrechtlichen Aufenthalts strafbar gemacht habe. Worauf die Staatsanwaltschaft ihre Ansicht stützt, ist der Einstel- lungsverfügung nicht zu entnehmen. Wie aus E. 4.4 hervorgeht, steht diese dem Erlass eines Einreiseverbotes nicht entgegen, bezieht sich die Bin- dungswirkung des strafrechtlichen Urteils doch auf die Feststellung der Tat- sachen und nicht auf die rechtliche Würdigung. Vorliegend hat die zustän- dige Staatsanwaltschaft das fragliche Verhalten des Beschwerdeführers ohnehin keiner umfassenden und eingehenden materiellen Prüfung unter- zogen. Eine Bindungswirkung der Einstellungsverfügung vom 8. April 2025 beim Entscheid über eine Fernhaltemassnahme ist zu verneinen. 7. 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 7.1 Der Beschwerdeführer hat gegen eine ausländerrechtliche Bestim- mung verstossen.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einem Verstoss gegen die öffentliche Sicherheit und Ordnung abzuhal- ten. Es besteht somit ein öffentliches Interesse an der befristeten Fernhal- tung des Beschwerdeführers.</w:t>
      </w:r>
    </w:p>
    <w:p>
      <w:r>
        <w:t>F-7678/2024 Seite 13 7.2 Die Ehefrau und die volljährigen Kinder des Beschwerdeführers leben in der Schweiz. Entsprechend ist sein privates Interesse an ungehinderten Einreisen in die Schweiz nicht unerheblich. Es steht der Familie jedoch frei, sich ausserhalb der Schweiz, namentlich in Frankreich, wo der Beschwer- deführer über eine Aufenthaltsbewilligung verfügt, zu treffen. Ferner kann das Einreiseverbot zur Wahrnehmung von Besuchen von Familienangehö- rigen auf begründetes Gesuch hin für eine kurze Zeitspanne suspendiert werden (vgl. E. 4.2). Nicht beeinträchtigt wird ferner die Pflege der Kontakte auf andere Weise als durch persönliche Treffen, namentlich mittels moder- ner Kommunikationsmittel. 7.3 Eine wertende Gewichtung der sich gegenüberstehenden Interessen unter Berücksichtigung der Praxis in ähnlich gelagerten Fällen führt zum Ergebnis, dass ein auf ein Jahr befristetes Einreiseverbot dem Grundsatz nach und in Bezug auf seine Dauer eine verhältnismässige und angemes- sene Massnahme zum Schutz der öffentlichen Sicherheit und Ordnung darstellt.</w:t>
      </w:r>
    </w:p>
    <w:p>
      <w:r>
        <w:rPr>
          <w:b/>
        </w:rPr>
        <w:t>E. 6.1</w:t>
      </w:r>
    </w:p>
    <w:p>
      <w:r>
        <w:t>Die Einreisevoraussetzungen für kurzfristige Aufenthalte richten sich nach Art. 6 der Verordnung (EG) Nr. 2016/399 des Europäischen Parlaments und des Rates vom 9. März 2016 über einen Gemeinschaftskodex für das Überschreiten der Grenzen durch Personen (Schengener Grenzkodex, SGK, Abl. L 77/1 vom 23.03.2016; Art. 2. Abs. 4 AIG und Art. 3 Abs. 1 VEV). Gemäss Art. 6 Abs. 1 Bst. a und Bst. b SGK müssen Drittstaatsangehörige über ein für den Grenzübertritt anerkanntes Reisedokument und über ein Visum verfügen, sofern dies erforderlich ist. Von der Visumspflicht befreit sind Personen, die Inhaber eines gültigen Aufenthaltstitels eines Schengen-Staates sind oder über ein Visum zum längerfristigen Aufenthalt verfügen. Die Liste der von der Schweiz für die Einreise anerkannten Reisedokumente ist abrufbar auf der Webseite des SEM (Übersicht der Ausweis- und Visumvorschriften nach Staatsangehörigkeit [Anhang CH-1, Liste 1], Version vom 30. Mai 2025, &lt; https://www.sem.admin.ch/dam/sem/de/data/rechtsgrundlagen/weisungen/visa/bfm/bfm-anh01-liste1-d.pdf.download.pdf/sem-anh01-liste1-d.pdf &gt; mit Verweis auf Europäische Kommission, Travel documents issued by Member States [Part II], 15. Mai 2025, &lt; https://home-affairs.ec.europa.eu/document/download/86436be0-dc08-4807-914c-3e875ed5fb76 _en?filename=part_ii_travel_documents_issued_by_member_states_en.xlsx &gt;, beide abgerufen am 21.07.2025; vgl. zum Ganzen Tobias Grasdorf-Meyer, in: Handkommentar AIG, 2. Aufl. 2024, Art. 5 N 28 ff. S. 70 f.). Wird bei einer Kontrolle festgestellt, dass ein Drittstaatsangehöriger die Einreisevoraussetzungen nicht oder nicht mehr erfüllt, wird sein Aufenthalt als illegal angesehen (vgl. Art. 3 Ziff. 2 der Rückführungsrichtlinie 2008/115/EG vom 16. Dezember 2008, ABl. L 348/98 vom 24.12.2008).</w:t>
      </w:r>
    </w:p>
    <w:p>
      <w:r>
        <w:rPr>
          <w:b/>
        </w:rPr>
        <w:t>E. 6.2</w:t>
      </w:r>
    </w:p>
    <w:p>
      <w:r>
        <w:t>Unbestritten ist, dass der Beschwerdeführer ohne Reisepass in die Schweiz eingereist ist (vgl. Einvernahme durch die Stadtpolizei B._______ vom 27. Oktober 2024). Bestritten hingegen ist, ob der französische Aufenthaltstitel als gültiges Reisedokument im Sinn von Art. 6 Abs. 1 Bst. a SGK gilt.</w:t>
      </w:r>
    </w:p>
    <w:p>
      <w:r>
        <w:rPr>
          <w:b/>
        </w:rPr>
        <w:t>E. 6.3</w:t>
      </w:r>
    </w:p>
    <w:p>
      <w:r>
        <w:t>In Übereinstimmung mit den Ausführungen der Vorinstanz befreit der französische Aufenthaltstitel den Beschwerdeführer gemäss Art. 6 Abs. 1 Bst. b SGK von der Visumspflicht, jedoch nicht vom Erfordernis eines im Sinn von Art. 6 Abs. 1 Bst. a SGK anerkannten Reisedokuments (vgl. zum Ganzen Grasdorf-Meyer, a.a.O., Art. 5 N 28 ff. S. 70 f.). Die französische «carte de séjour» gilt nicht als anerkanntes Reisedokument (s. SEM, Übersicht der Ausweis- und Visumvorschriften nach Staatsangehörigkeit [Anhang CH-1, Liste 1], Version vom 30. Mai 2025, &lt; https://www.sem.admin.ch/dam/sem/de/data/rechtsgrundlagen/weisungen/visa/bfm/bfm-anh01-liste1-d.pdf.download.pdf/sem-anh01-liste1-d.pdf &gt;, abgerufen am 21.07.2025 und Europäische Kommission, Travel documents issued by Member States [Part II], 15. Mai 2025, &lt; https://home-affairs.ec.europa.eu/document/download/86436be0-dc08-4807-914c-3e875ed5fb76 _en?filename=part_ii_travel_documents_issued_by_member_states_en.xlsx &gt;, abgerufen am 21.07.2025; vgl. auch SEM, FAQ-Einreise, Ziff. 1.3.2, 1.4 und 1.6.3, &lt; https://www.sem.admin.ch/sem/de/home/themen/einreise/faq.html &gt;, abgerufen am 24.07.2025).</w:t>
      </w:r>
    </w:p>
    <w:p>
      <w:r>
        <w:rPr>
          <w:b/>
        </w:rPr>
        <w:t>E. 6.4</w:t>
      </w:r>
    </w:p>
    <w:p>
      <w:r>
        <w:t>Der Einwand des Beschwerdeführers, seine Wegweisung und als Folge davon das Einreiseverbot seien mit Verweis auf Art. 64c Abs. 1 Bst. a AIG und Art. 26c VVWAL nicht zulässig, läuft ins Leere, da diese Bestimmungen die Form einer Wegweisung, nicht jedoch deren Rechtmässigkeit beschlagen. Überdies sieht Art. 64 Abs. 2 dritter Satz AIG eine Ausnahme von der formlosen Wegweisung vor und schreibt vor, dass ohne vorgängige Aufforderung eine Verfügung zu erlassen ist, wenn die sofortige Ausreise aus Gründen der öffentlichen Sicherheit und Ordnung oder der inneren oder äusseren Sicherheit angezeigt ist.</w:t>
      </w:r>
    </w:p>
    <w:p>
      <w:r>
        <w:rPr>
          <w:b/>
        </w:rPr>
        <w:t>E. 6.5</w:t>
      </w:r>
    </w:p>
    <w:p>
      <w:r>
        <w:t>Aus dem Gesagten folgt, dass der Beschwerdeführer gegen die Einreisevorschriften gemäss Art. 6 Abs. 1 Bst. a SGK verstossen hat. Entsprechend ist auch sein Aufenthalt als rechtswidrig zu betrachten (s. Art. 3 Ziff. 2 Rückführungsrichtlinie). Dadurch hat er gegen die öffentliche Sicherheit und Ordnung verstossen und den Fernhaltegrund nach Art. 67 Abs. 1 Bst. c AIG gesetzt.</w:t>
      </w:r>
    </w:p>
    <w:p>
      <w:r>
        <w:rPr>
          <w:b/>
        </w:rPr>
        <w:t>E. 6.6</w:t>
      </w:r>
    </w:p>
    <w:p>
      <w:r>
        <w:t>Die Staatsanwaltschaft C._______ hat das Verfahren gegen den Beschwerdeführer mit Einstellungsverfügung vom 8. April 2025 wegen rechtswidriger Einreise und rechtswidrigen Aufenthalts eingestellt. Dabei hat sie festgehalten, der Beschwerdeführer habe bei seiner Einreise sowie während seines Aufenthalts über ein anerkanntes Ausweispapier i.S.v. Art. 5 Abs. 1 Bst. a AIG verfügt, weshalb er sich nicht der widerrechtlichen Einreise und auch nicht des widerrechtlichen Aufenthalts strafbar gemacht habe. Worauf die Staatsanwaltschaft ihre Ansicht stützt, ist der Einstellungsverfügung nicht zu entnehmen. Wie aus E. 4.4 hervorgeht, steht diese dem Erlass eines Einreiseverbotes nicht entgegen, bezieht sich die Bindungswirkung des strafrechtlichen Urteils doch auf die Feststellung der Tatsachen und nicht auf die rechtliche Würdigung. Vorliegend hat die zuständige Staatsanwaltschaft das fragliche Verhalten des Beschwerdeführers ohnehin keiner umfassenden und eingehenden materiellen Prüfung unterzogen. Eine Bindungswirkung der Einstellungsverfügung vom 8. April 2025 beim Entscheid über eine Fernhaltemassnahme ist zu verneinen.</w:t>
      </w:r>
    </w:p>
    <w:p>
      <w:r>
        <w:rPr>
          <w:b/>
        </w:rPr>
        <w:t>E. 7</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7.1</w:t>
      </w:r>
    </w:p>
    <w:p>
      <w:r>
        <w:t>Der Beschwerdeführer hat gegen eine ausländerrechtliche Bestimmung verstossen. Der Einhaltung ausländerrechtlicher Normen kommt eine hohe Bedeutung zu, geht es doch darum, eine funktionierende Rechtsordnung gewährleisten zu können. Entsprechend ist die ausländerrechtliche Ordnung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spezialpräventiven Gründen angezeigt, um ihn bei künftigen Aufenthalten in der Schweiz von einem Verstoss gegen die öffentliche Sicherheit und Ordnung abzuhalten. Es besteht somit ein öffentliches Interesse an der befristeten Fernhaltung des Beschwerdeführers.</w:t>
      </w:r>
    </w:p>
    <w:p>
      <w:r>
        <w:rPr>
          <w:b/>
        </w:rPr>
        <w:t>E. 7.2</w:t>
      </w:r>
    </w:p>
    <w:p>
      <w:r>
        <w:t>Die Ehefrau und die volljährigen Kinder des Beschwerdeführers leben in der Schweiz. Entsprechend ist sein privates Interesse an ungehinderten Einreisen in die Schweiz nicht unerheblich. Es steht der Familie jedoch frei, sich ausserhalb der Schweiz, namentlich in Frankreich, wo der Beschwerdeführer über eine Aufenthaltsbewilligung verfügt, zu treffen. Ferner kann das Einreiseverbot zur Wahrnehmung von Besuchen von Familienangehörigen auf begründetes Gesuch hin für eine kurze Zeitspanne suspendiert werden (vgl. E. 4.2). Nicht beeinträchtigt wird ferner die Pflege der Kontakte auf andere Weise als durch persönliche Treffen, namentlich mittels moderner Kommunikationsmittel.</w:t>
      </w:r>
    </w:p>
    <w:p>
      <w:r>
        <w:rPr>
          <w:b/>
        </w:rPr>
        <w:t>E. 7.3</w:t>
      </w:r>
    </w:p>
    <w:p>
      <w:r>
        <w:t>Eine wertende Gewichtung der sich gegenüberstehenden Interessen unter Berücksichtigung der Praxis in ähnlich gelagerten Fällen führt zum Ergebnis, dass ein auf ein Jahr befristetes Einreiseverbot dem Grundsatz nach und in Bezug auf seine Dauer eine verhältnismässige und angemessene Massnahme zum Schutz der öffentlichen Sicherheit und Ordnung darstellt.</w:t>
      </w:r>
    </w:p>
    <w:p>
      <w:r>
        <w:rPr>
          <w:b/>
        </w:rPr>
        <w:t>E. 8</w:t>
      </w:r>
    </w:p>
    <w:p>
      <w:r>
        <w:t>Zusammenfassend ist festzuhalten, dass die Vorinstanz dem Beschwerde- führer zu Recht ein einjähriges Einreiseverbot auferlegt hat. Folglich ist die- ses im Licht von Art. 49 VwVG nicht zu beanstanden. Die Beschwerde ist daher abzuweisen, soweit sie nicht durch die Wiedererwägung der Vor- instanz gegenstandslos geworden ist.</w:t>
      </w:r>
    </w:p>
    <w:p>
      <w:r>
        <w:rPr>
          <w:b/>
        </w:rPr>
        <w:t>E. 9.1</w:t>
      </w:r>
    </w:p>
    <w:p>
      <w:r>
        <w:t>Bei diesem Verfahrensausgang ist aufgrund der teilweisen Wiederer- wägung von einem hälftigen Obsiegen des Beschwerdeführers auszuge- hen, womit er die anteilig anfallenden Verfahrenskosten zu tragen hätte (Art. 63 Abs. 1 VwVG; Art. 1–3 des Reglements vom 21. Februar 2008 über die Kosten und Entschädigungen vor dem Bundesverwaltungsgericht [VGKE, SR 173.320.2]). Angesichts der Gewährung der unentgeltlichen Prozessführung nach Art. 65 Abs. 1 VwVG ist auf die Erhebung von Ver- fahrenskosten zu verzichten.</w:t>
      </w:r>
    </w:p>
    <w:p>
      <w:r>
        <w:rPr>
          <w:b/>
        </w:rPr>
        <w:t>E. 9.2</w:t>
      </w:r>
    </w:p>
    <w:p>
      <w:r>
        <w:t>Dem Beschwerdeführer ist aufgrund seines teilweisen Obsiegens für die notwendigen Kosten der Rechtsvertretung gemäss Art. 64 Abs. 1 VwVG i.V.m. Art. 7 ff. VGKE eine gekürzte Parteientschädigung zuzuspre- chen. Mangels Kostennote ist die Höhe der Parteientschädigung aufgrund der Akten festzulegen. Mit Blick auf den aktenkundigen Aufwand und die Komplexität der Streitsache sowie in Anwendung der gesetzlichen</w:t>
      </w:r>
    </w:p>
    <w:p>
      <w:r>
        <w:t>F-7678/2024 Seite 14 Bemessungskriterien von Art. 8 ff. VGKE erscheint eine Parteientschädi- gung von Fr. 1'400.– als angemessen. Weil der Wohnsitz des Beschwer- deführers als Empfänger der anwaltschaftlichen Dienstleistung im Ausland liegt, ist kein Zuschlag für die Mehrwertsteuer auszurichten (Art. 1 Abs. 2 i.V.m. Art. 8 Abs. 1 und 18 Abs. 1 MWSTG [SR 641.20] sowie Art. 9 Abs. 1 Bst. c VGKE; vgl. auch Urteil des BVGer F-3614/2019 vom 30. April 2020 E. 8.2). Im Umfang seines hälftigen Obsiegens ist ihm folglich eine von der Vorinstanz auszurichtende Parteientschädigung in Höhe von Fr. 700.– zu- zusprechen. Sodann ist die Heilung der Gehörsverletzung im Kostenpunkt ebenfalls zu berücksichtigen (s. E. 3.6). Die Parteientschädigung ist somit auf Fr. 900.– festzusetzen.</w:t>
      </w:r>
    </w:p>
    <w:p>
      <w:r>
        <w:rPr>
          <w:b/>
        </w:rPr>
        <w:t>E. 9.3</w:t>
      </w:r>
    </w:p>
    <w:p>
      <w:r>
        <w:t>Das amtliche Honorar ist entsprechend auf Fr. 540.50 (Fr. 1'400 – Fr. 900 = Fr. 500.– zzgl. Mehrwertsteuerzuschlag von 8.1 % im Sinn von Art. 9 Abs. 1 Bst. c VGKE) festzusetzen.</w:t>
      </w:r>
    </w:p>
    <w:p>
      <w:r>
        <w:t>F-7678/2024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