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F-7676/2024 vom 18. Dezember 2024</w:t>
      </w:r>
    </w:p>
    <w:p>
      <w:r>
        <w:t>Bundesverwaltungsgericht, 2024-12-18, DE</w:t>
      </w:r>
    </w:p>
    <w:p>
      <w:r>
        <w:rPr>
          <w:b/>
        </w:rPr>
        <w:t xml:space="preserve">Quelle: </w:t>
      </w:r>
      <w:r>
        <w:t>https://mcp.opencaselaw.ch/entscheid/bvger_F-7676_2024</w:t>
      </w:r>
    </w:p>
    <w:p>
      <w:r>
        <w:t>FR: TAF F-7676/2024 du 18 décembre 2024</w:t>
      </w:r>
    </w:p>
    <w:p>
      <w:r>
        <w:t>IT: TAF F-7676/2024 del 18 dicembre 2024</w:t>
      </w:r>
    </w:p>
    <w:p>
      <w:pPr>
        <w:pStyle w:val="Heading2"/>
      </w:pPr>
      <w:r>
        <w:t>Regeste</w:t>
      </w:r>
    </w:p>
    <w:p>
      <w:r>
        <w:t>Nichteintreten auf Asylgesuch und Wegweisung (Dublin-Verfahren - Art. 31a Abs. 1 Bst. b AsylG)</w:t>
      </w:r>
    </w:p>
    <w:p>
      <w:pPr>
        <w:pStyle w:val="Heading2"/>
      </w:pPr>
      <w:r>
        <w:t>Erwägungen</w:t>
      </w:r>
    </w:p>
    <w:p>
      <w:r>
        <w:rPr>
          <w:b/>
        </w:rPr>
        <w:t>E. 1</w:t>
      </w:r>
    </w:p>
    <w:p>
      <w:r>
        <w:t>Die Vorinstanz hat das Alter des Beschwerdeführers im ZEMIS auf den (...) angepasst und den Eintrag mit einem Bestreitungsvermerk versehen (Dispositiv-Ziffer 6). Der (rechtlich vertretene) Beschwerdeführer beantragt in Ziff. 1 seiner Rechtsbegehren, die angefochtene Verfügung sei vollständig aufzuheben. Betreffend die Dispositiv-Ziffer 6 der angefochtenen Verfügung lässt der Wortlaut von Ziff. 1 der Rechtsbegehren (vgl. Bst. F hiervor) jedoch keinen Beschwerdewillen erkennen und der Beschwerdeführer bringt dazu auch keine Rügen vor. Angefochten ist daher ausschliesslich der im Rahmen des Dublin-Verfahrens ergangene Nichteintretensentscheid mitsamt der Überstellungsanordnung nach Kroatien (vgl. BGE 142 I 155 E. 4.4.2; 136 II 457 E. 4.2). Nicht Gegenstand der vorliegenden Beschwerde ist demgegenüber die Festlegung des Alters des Beschwerdeführers im ZEMIS. Die entsprechende Dispositiv-Ziffer 6 ist allerdings noch nicht rechtskräftig und kann noch innert laufender Rechtsmittelfrist von 30 Tagen angefochten werden (vgl. Urteil des BVGer F-3691/2024 vom 19. Juni 2024 E. 1).</w:t>
      </w:r>
    </w:p>
    <w:p>
      <w:r>
        <w:rPr>
          <w:b/>
        </w:rPr>
        <w:t>E. 2.1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Aufgrund des Ergebnisses des Altersgutachtens, welches die Volljährigkeit bestätigt, ist der Beschwerdeführer nicht vom Wiederaufnahmeverfahren ausgenommen (vgl. Filzwieser/Sprung, Dublin-III-VO, Wien 2014, Kap. 15 f. zu Art. 8). Der Beschwerdeführer vermag seine Minderjährigkeit auch auf Beschwerdeebene nicht glaubhaft darzutun.</w:t>
      </w:r>
    </w:p>
    <w:p>
      <w:r>
        <w:rPr>
          <w:b/>
        </w:rPr>
        <w:t>E. 3.2</w:t>
      </w:r>
    </w:p>
    <w:p>
      <w:r>
        <w:t>Die Vorinstanz hat korrekt erwogen, dass gemäss Art. 20 Abs. 5 Dublin-III-VO grundsätzlich Kroatien für die Weiterführung des Verfahrens und gegebenenfalls für die Behandlung des Asylgesuchs des Beschwerdeführers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3.3</w:t>
      </w:r>
    </w:p>
    <w:p>
      <w:r>
        <w:t>Die vom Beschwerdeführer auf Rechtsmittelebene zitierten Berichte betreffend die Situation von Asylsuchenden in Kroatien vermögen nichts daran zu ändern, dass das kroatische Asylsystem rechtsprechungsgemäss keine systemischen Schwachstellen aufweist und insgesamt davon auszugehen ist, dass Gesuchstellende, welche gestützt auf die Dublin-III-VO nach Kroatien überstellt werden, Zugang zum dortigen Asylverfahren erhalten (vgl. E. 3.2 hiervor). Insbesondere besteht keine beachtliche Wahrscheinlichkeit einer Verletzung der aus dem Refoulement-Verbot fliessenden Rechte der Asylsuchenden (vgl. Referenzurteil E-1488/2020 E. 9, insb. E. 9.4.2). Darüber hinaus ist Kroatien Signatarstaat der EMRK und des Übereinkommens vom 10. Dezember 1984 gegen Folter und andere grausame, unmenschliche oder erniedrigende Behandlung oder Strafe (FoK, SR 0.105) und hat die entsprechenden völkerrechtlichen Verpflichtungen zu beachten. Im Übrigen beurteilt der eingereichte Endbefund (...) vom 18. Oktober 2024 den allgemeinen Eindruck des Gesundheitszustands des Beschwerdeführers als sehr gut.</w:t>
      </w:r>
    </w:p>
    <w:p>
      <w:r>
        <w:rPr>
          <w:b/>
        </w:rPr>
        <w:t>E. 4</w:t>
      </w:r>
    </w:p>
    <w:p>
      <w:r>
        <w:t>Soweit der Beschwerdeführer eine Verletzung des Untersuchungsgrundsatzes geltend macht, ist darauf hinzuweisen, dass die Vorinstanz unter Bezugnahme auf die vorhandenen Akten und auf die Rechtsprechung des Bundesverwaltungsgerichts die vorgebrachte Bedrohungslage in Kroatien abgeklärt und angemessen berücksichtigt hat. Es ist weder dargetan noch ersichtlich, inwiefern der rechtserhebliche Sachverhalt unrichtig oder unvollständig erhoben worden sein soll. Eine Verletzung des Untersuchungsgrundsatzes liegt nicht vor. Der Eventualantrag auf Rückweisung der Sache an die Vorinstanz ist abzuweisen.</w:t>
      </w:r>
    </w:p>
    <w:p>
      <w:r>
        <w:rPr>
          <w:b/>
        </w:rPr>
        <w:t>E. 5</w:t>
      </w:r>
    </w:p>
    <w:p>
      <w:r>
        <w:t>Nach dem Gesagten ist die angefochtene Verfügung nicht zu beanstanden (Art. 106 AsylG) und die Beschwerde ist abzuweisen. Mit dem vorliegenden Urteil fällt der am 9. Dezember 2024 angeordnete Vollzugsstopp dahin. Das Gesuch um Verzicht auf die Erhebung eines Kostenvorschusses ist mit heutigem Entscheid gegenstandslos geworden.</w:t>
      </w:r>
    </w:p>
    <w:p>
      <w:r>
        <w:rPr>
          <w:b/>
        </w:rPr>
        <w:t>E. 6</w:t>
      </w:r>
    </w:p>
    <w:p>
      <w:r>
        <w:t>Die Begehren erweisen sich als aussichtslos, weshalb das Gesuch um unentgeltliche Prozessführung (Art. 65 Abs. 1 VwVG) abzuweisen ist.</w:t>
      </w:r>
    </w:p>
    <w:p>
      <w:r>
        <w:rPr>
          <w:b/>
        </w:rPr>
        <w:t>E. 7</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