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F-7649/2016 vom 13. März 2018</w:t>
      </w:r>
    </w:p>
    <w:p>
      <w:r>
        <w:t>Bundesverwaltungsgericht, 2018-03-13, DE</w:t>
      </w:r>
    </w:p>
    <w:p>
      <w:r>
        <w:rPr>
          <w:b/>
        </w:rPr>
        <w:t xml:space="preserve">Quelle: </w:t>
      </w:r>
      <w:r>
        <w:t>https://mcp.opencaselaw.ch/entscheid/bvger_F-7649_2016</w:t>
      </w:r>
    </w:p>
    <w:p>
      <w:r>
        <w:t>FR: TAF F-7649/2016 du 13 mars 2018</w:t>
      </w:r>
    </w:p>
    <w:p>
      <w:r>
        <w:t>IT: TAF F-7649/2016 del 13 marzo 2018</w:t>
      </w:r>
    </w:p>
    <w:p>
      <w:pPr>
        <w:pStyle w:val="Heading2"/>
      </w:pPr>
      <w:r>
        <w:t>Regeste</w:t>
      </w:r>
    </w:p>
    <w:p>
      <w:r>
        <w:t>Einreiseverbot</w:t>
      </w:r>
    </w:p>
    <w:p>
      <w:pPr>
        <w:pStyle w:val="Heading2"/>
      </w:pPr>
      <w:r>
        <w:t>Erwägungen</w:t>
      </w:r>
    </w:p>
    <w:p>
      <w:r>
        <w:rPr>
          <w:b/>
        </w:rPr>
        <w:t>E. 1.1</w:t>
      </w:r>
    </w:p>
    <w:p>
      <w:r>
        <w:t>Verfügungen der Vorinstanz,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Als Verfügungsadressatin ist die Beschwerdeführerin zur Erhebung der Beschwerde legitimiert (Art. 48 Abs. 1 VwVG). Auf die im Übrigen frist- und formgerecht eingereichte Beschwerde ist daher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3.1</w:t>
      </w:r>
    </w:p>
    <w:p>
      <w:r>
        <w:t>Das SEM kann Einreiseverbote gegen ausländische Personen erlassen, die gegen die öffentliche Sicherheit und Ordnung in der Schweiz oder im Ausland verstossen haben oder diese gefährden (Art. 67 Abs. 2 Bst. a AuG).</w:t>
      </w:r>
    </w:p>
    <w:p>
      <w:r>
        <w:rPr>
          <w:b/>
        </w:rPr>
        <w:t>E. 3.2</w:t>
      </w:r>
    </w:p>
    <w:p>
      <w:r>
        <w:t>Das Einreiseverbot dient der Abwendung künftiger Störungen der öffentlichen Sicherheit und Ordnung (BBl 2002 3709, 3813). Die öffentliche Sicherheit und Ordnung im Sinne von Art. 67 Abs. 2 Bst. a AuG bildet den Oberbegriff für die Gesamtheit der polizeilichen Schutzgüter; sie umfasst unter anderem die Unverletzlichkeit der objektiven Rechtsordnung oder der Rechtsgüter Einzelner. In diesem Sinne liegt ein Verstoss gegen die öffentliche Sicherheit und Ordnung vor, wenn gesetzliche Vorschriften oder behördliche Verfügungen missachtet werden (Art. 80 Abs. 1 Bst. a der Verordnung vom 24. Oktober 2007 über Zulassung, Aufenthalt und Erwerbstätigkeit [VZAE, SR 142.201]). Bei der Annahme einer Gefährdung der öffentlichen Sicherheit und Ordnung müssen konkrete Anhaltspunkte dafür bestehen, dass der Aufenthalt der betroffenen Person in der Schweiz mit erheblicher Wahrscheinlichkeit zu einem Verstoss gegen die öffentliche Sicherheit und Ordnung führen wird (Art. 80 Abs. 2 VZAE). Ob eine solche Gefährdung vorliegt, ist gestützt auf die gesamten Umstände des Einzelfalles im Sinne einer Prognose zu beurteilen, die sich in erster Linie auf das vergangene Verhalten des Betroffenen abstützen muss (vgl. statt vieler: Urteile des BVGer F-6713/2016 vom 19. Mai 2017 E. 5.3 und F-7919/2015 vom 20. März 2017 E. 4.2 und 4.3 je m.H.).</w:t>
      </w:r>
    </w:p>
    <w:p>
      <w:r>
        <w:rPr>
          <w:b/>
        </w:rPr>
        <w:t>E. 3.3</w:t>
      </w:r>
    </w:p>
    <w:p>
      <w:r>
        <w:t>Die Anordnung eines Einreiseverbots kann gemäss ständiger Rechtsprechung auch dann ergehen, wenn ein rechtkräftiges Strafurteil fehlt, sei es, weil ein Strafverfahren nicht eröffnet wurde, noch hängig ist oder wie in diesem Fall eingestellt wurde (vgl. Urteile des BVGer C-7068/2013 vom 19. Mai 2015 E. 5.5 m.H. sowie C-131/2006 vom 21. Februar 2007 E. 7). Als präventivpolizeiliche Massnahme knüpft das Einreiseverbot direkt an die Störung der öffentlichen Sicherheit und Ordnung an und nicht an die Ahndung derselben. Ob eine solche Störung besteht und wie diese zu gewichten ist, hat die Verwaltungsbehörde in eigener Kompetenz unter Zugrundelegung ausländerrechtlicher Kriterien zu beurteilen. Es genügt, dass Verdachtsmomente vorliegen, die von der Behörde als hinreichend konkret erachtet werden, wobei die Unschuldsvermutung im Administrativverfahren grundsätzlich keine Geltung beanspruchen kann (vgl. Urteil des BVGer C-4921/2010 vom 11. August 2011 E. 5.2).</w:t>
      </w:r>
    </w:p>
    <w:p>
      <w:r>
        <w:rPr>
          <w:b/>
        </w:rPr>
        <w:t>E. 4.1</w:t>
      </w:r>
    </w:p>
    <w:p>
      <w:r>
        <w:t>Die Vorinstanz stützt sich bei der Verfügung des Einreiseverbots auf die Beobachtungen einer Polizeipatrouille und die polizeiliche Einvernahme der Beschwerdeführerin, welche auch zur Eröffnung eines Strafverfahrens wegen Ausübung einer nicht bewilligten Erwerbstätigkeit (Art. 115 Abs. 1 Bst. c AuG) durch die Staatsanwaltschaft Schaffhausen führten. Nachdem die Beschwerdeführerin gegen den entsprechenden Strafbefehl vom 29. Juli 2016 Einsprache erhoben hatte, stellte die Staatsanwaltschaft dieses Verfahren mangels Nachweisbarkeit des Tatbestands jedoch wieder ein.</w:t>
      </w:r>
    </w:p>
    <w:p>
      <w:r>
        <w:rPr>
          <w:b/>
        </w:rPr>
        <w:t>E. 4.2</w:t>
      </w:r>
    </w:p>
    <w:p>
      <w:r>
        <w:t>Aus den beigezogenen Akten ergibt sich, dass die erwähnten polizeilichen Feststellungen auch im vorliegenden Administrativverfahren für sich genommen nicht genügen, um das Vorliegen hinreichender Verdachtsmomente für eine illegale Erwerbstätigkeit der Beschwerdeführerin zu bejahen. Zwar stellen die Schilderungen der Beschwerdeführerin die Beobachtungen der Polizei nicht generell in Frage, und das Bundesverwaltungsgericht sieht keine Veranlassung, die erwähnten polizeilichen Feststellungen bei der Anhaltung der Beschwerdeführerin grundsätzlich in Zweifel zu ziehen. Trotzdem geben der Rapport zur vorläufigen Festnahme und das Einvernahmeprotokoll nicht genügend Aufschluss darüber, wie sich die Situation dargestellt hat, insbesondere auch deshalb nicht, weil die Beschwerdeführerin ihrerseits die gegen sie erhobenen Vorwürfe stets überzeugend bestritten hat. So verwiesen die Beschwerdeführerin beziehungsweise ihre Rechtsvertreterin bereits bei der zweiten Einvernahme vom 24. Juni 2016 auf Übersetzungsschwierigkeiten beziehungsweise Missverständnisse während der ersten Befragung. Mit der Vorinstanz ist dabei zwar davon auszugehen, dass die Übersetzung der Arbeitsinspektorin, welche auch während der polizeilichen Einvernahme die amtliche Übersetzung übernahm, nicht zu beanstanden ist. Dennoch weisen die Einvernahmeprotokolle vom 22. und 24. Juni 2016 Inkonsistenzen auf. So wurde der Beschwerdeführerin während ihrer Befragung namentlich gesagt, dass sie gemäss Aussage ihrer späteren Rechtsvertreterin auf deren Kinder aufpasse. Eine solche Aussage der späteren Rechtsvertreterin ist aber nicht dokumentiert und wurde stets bestritten (vgl. SEM-act. 1/13 und 22 sowie kantonale Strafakten, Protokoll der staatsanwaltlichen Befragung vom 19. Oktober 2016, S. 6). Auch die Tatsachen, dass die Beschwerdeführerin bei der Kontrolle vom 22. Juni 2016 in der Küche des Restaurants Arbeiten verrichtete und den Raum "fluchtartig" verlassen habe, wurden stets bestritten und sie bleiben unter Berücksichtigung der durch die Staatsanwaltschaft Schaffhausen anberaumten Befragungen zumindest fraglich (vgl. SEM-act. 1/13, 21 und 25; kantonale Strafakten, Protokoll der staatsanwaltlichen Befragung vom 19. Oktober 2016, S. 3 f. sowie Protokoll der staatsanwaltlichen Befragung vom 14. November 2016, S. 2 f. und 5). Auch weitere Aspekte schaffen Zweifel an der Annahme einer illegalen Erwerbstätigkeit der Beschwerdeführerin. So bestätigte die Rechtsvertreterin bei der Staatsanwältin namentlich, dass die Betreuung ihrer Kinder vollumfänglich gewährleistet sei (Protokoll der staatsanwaltlichen Befragung vom 14. November 2016, S. 5).</w:t>
      </w:r>
    </w:p>
    <w:p>
      <w:r>
        <w:rPr>
          <w:b/>
        </w:rPr>
        <w:t>E. 4.3</w:t>
      </w:r>
    </w:p>
    <w:p>
      <w:r>
        <w:t>Die gegen die Beschwerdeführerin erhobene Anschuldigung der illegalen Erwerbstätigkeit kann deshalb insgesamt nicht als rechtsgenüglich nachgewiesen erachtet werden.</w:t>
      </w:r>
    </w:p>
    <w:p>
      <w:r>
        <w:rPr>
          <w:b/>
        </w:rPr>
        <w:t>E. 5</w:t>
      </w:r>
    </w:p>
    <w:p>
      <w:r>
        <w:t>Kann kein strafrechtliches beziehungsweise ausländerrechtliches Fehlverhalten nachgewiesen werden, so entfällt die Grundlage für die Verhängung einer Fernhaltemassnahme. Der Beschwerdeführerin kann folglich weder eine Gefährdung noch eine Verletzung der öffentlichen Sicherheit und Ordnung gemäss Art. 67 Abs. 2 Bst. a AuG angelastet werden. Es sind auch keine anderen Gründe für die Verhängung einer Fernhaltemassnahme nach Art. 67 AuG ersichtlich.</w:t>
      </w:r>
    </w:p>
    <w:p>
      <w:r>
        <w:rPr>
          <w:b/>
        </w:rPr>
        <w:t>E. 6</w:t>
      </w:r>
    </w:p>
    <w:p>
      <w:r>
        <w:t>Aus dem Gesagten folgt, dass die Vorinstanz gegen die Beschwerdeführerin zu Unrecht ein zweijähriges Einreiseverbot verhängt hat. Die angefochtene Verfügung erweist sich daher als bundesrechtswidrig (Art. 49 VwVG). In Gutheissung der Beschwerde ist sie somit aufzuheben.</w:t>
      </w:r>
    </w:p>
    <w:p>
      <w:r>
        <w:rPr>
          <w:b/>
        </w:rPr>
        <w:t>E. 7.1</w:t>
      </w:r>
    </w:p>
    <w:p>
      <w:r>
        <w:t>Bei diesem Ausgang des Verfahrens sind weder der Beschwerdeführerin noch der Vorinstanz Verfahrenskosten aufzuerlegen (vgl. Art. 63 Abs. 1 und 2 VwVG i.V.m. Art. 1 ff. des Reglements vom 21. Februar 2008 über die Kosten und Entschädigungen vor dem Bundesverwaltungsgericht [VGKE, SR 173.320.2]). Der am 30. Januar 2017 entrichtete Kostenvorschuss von Fr. 1'000.- ist der Beschwerdeführerin deshalb zurückzuerstatten.</w:t>
      </w:r>
    </w:p>
    <w:p>
      <w:r>
        <w:rPr>
          <w:b/>
        </w:rPr>
        <w:t>E. 7.2</w:t>
      </w:r>
    </w:p>
    <w:p>
      <w:r>
        <w:t>Nicht anwaltlich vertretenen Beschwerdeführern ist eine Parteientschädigung nur dann auszurichten, wenn es sich um eine komplexe Sache mit hohem Streitwert handelt und die Interessenswahrung den Rahmen des üblicherweise zur Besorgung der persönlichen Angelegenheiten Notwendigen überschreitet (vgl. Art. 64 Abs. 1 VwVG i.V.m. Art. 7 VGKE; Weissenberger/Hirzel, in: Waldmann/Weissenberger [Hrsg.], Praxiskommentar VwVG, 2. Aufl. 2016, Rz. 5 zu Art. 7 VGKE). Es ist nicht ersichtlich, dass der nicht anwaltlich vertretenen, eine bloss einseitige Beschwerdeschrift beziehungsweise Replik vorlegenden und keine Parteientschädigung beantragenden Beschwerdeführerin solche verhältnismässig hohen Kosten entstanden wären. Die Laienvertreterin und die Beschwerdeführerin haben sich im Hinblick auf die Strafverfahren wegen irregulärer Erwerbstätigkeit zwar rechtsanwaltlich vertreten und beraten lassen (vgl. kantonale Strafakten, Einsprache vom 16. August 2016 gegen den Strafbefehl Nr. [...] vom 29. Juli 2016). Die von ihr beauftragte Rechtsanwältin hat das Vertretungsverhältnis zur Beschwerdeführerin im Strafverfahren in der Folge aber wieder fallen gelassen und ist in keinem Stadium des vorliegenden Prozesses als Vertreterin der Beschwerdeführerin aufgetreten oder mit einer Prozessvollmacht legitimiert worden (vgl. kantonale Strafakten, Schreiben vom 24. August 2016). Entsprechend ist der Beschwerdeführerin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