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F-7632/2015 vom 20. März 2017</w:t>
      </w:r>
    </w:p>
    <w:p>
      <w:r>
        <w:t>Bundesverwaltungsgericht, 2017-03-20, IT</w:t>
      </w:r>
    </w:p>
    <w:p>
      <w:r>
        <w:rPr>
          <w:b/>
        </w:rPr>
        <w:t xml:space="preserve">Quelle: </w:t>
      </w:r>
      <w:r>
        <w:t>https://mcp.opencaselaw.ch/entscheid/bvger_F-7632_2015</w:t>
      </w:r>
    </w:p>
    <w:p>
      <w:r>
        <w:t>FR: TAF F-7632/2015 du 20 mars 2017</w:t>
      </w:r>
    </w:p>
    <w:p>
      <w:r>
        <w:t>IT: TAF F-7632/2015 del 20 marzo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quale autorità di grado inferiore al Tribunale federale (cfr. art. 1 cpv. 2 LTAF in relazione con l'art. 83 lett. c cifra 2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Conformemente all'art. 67 cpv. 1 LStr (RS 142.20),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3.4</w:t>
      </w:r>
    </w:p>
    <w:p>
      <w:r>
        <w:t>In virtù del messaggio LStr precitato (FF 2002 3327, pag. 3428) l'emanazione di un divieto d'entrata non deve essere interpretato quale sanzione dal carattere penale, bensì quale misura di protezione di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w:t>
      </w:r>
    </w:p>
    <w:p>
      <w:r>
        <w:rPr>
          <w:b/>
        </w:rPr>
        <w:t>E. 5.1</w:t>
      </w:r>
    </w:p>
    <w:p>
      <w:r>
        <w:t>Nella fattispecie in disanima, la SEM ha pronunciato nei confronti di A._______ un divieto d'entrata della durata di tre anni, ossia fino al 24 agosto 2018, ritenendo che il comportamento dell'interessato, ripetutamente condannato per infrazioni alla LCStr, truffa e delitti ai sensi della LStr, costituisca una violazione e rappresenti una minaccia per l'ordine e la sicurezza pubblici ai sensi dell'art. 67 LStr.</w:t>
      </w:r>
    </w:p>
    <w:p>
      <w:r>
        <w:rPr>
          <w:b/>
        </w:rPr>
        <w:t>E. 5.2</w:t>
      </w:r>
    </w:p>
    <w:p>
      <w:r>
        <w:t>Come si è visto (cfr. lett. B. supra) il comportamento tenuto dall'interessato nel corso degli ultimi anni è stato tutt'altro che irreprensibile, in quanto successivamente al divieto d'entrata in Svizzera pronunciato nei suoi confronti il 4 aprile 2007 egli è stato condannato dalle autorità di perseguimento penale ticinesi in ben cinque occasioni. A dette condanne vanno aggiunti i due giudizi di colpevolezza pronunciati nel 2005 e nel 2006. Dagli atti emerge inoltre che anche in Croazia A._______ non ha tenuto un comportamento corretto, essendo stato condannato a dieci riprese tra il 1994 ed il 2012 (cfr. lett. C. supra).</w:t>
      </w:r>
    </w:p>
    <w:p>
      <w:r>
        <w:rPr>
          <w:b/>
        </w:rPr>
        <w:t>E. 5.3</w:t>
      </w:r>
    </w:p>
    <w:p>
      <w:r>
        <w:t>La maggior parte delle infrazioni commesse dal ricorrente sono avvenute nel contesto della circolazione stradale. Delle sette condanne pronunciate in Svizzera a partire dal 2005 A._______ è stato riconosciuto colpevole in quattro occasioni del reato di guida senza licenza di condurre o nonostante revoca, a ciò vanno aggiunti tre episodi di guida in stato di inattitudine (in un caso l'interessato presentava una concentrazione di alcol nel sangue compresa tra 2,24 e 2,61 perthousand), due infrazioni alla LCStr (di cui una grave), due episodi di guida nonostante fosse sprovvisto di assicurazione per la responsabilità civile, uno di guida senza licenza di circolazione o targhe di controllo, uno di furto d'uso ed uno di guida di un veicolo a motore sottratto. L'interessato si è inoltre macchiato di altri tipi di reati, essendo stato condannato in due occasioni per infrazioni contro le norme di diritto degli stranieri ed in un caso anche per il delitto di truffa.</w:t>
      </w:r>
    </w:p>
    <w:p>
      <w:r>
        <w:rPr>
          <w:b/>
        </w:rPr>
        <w:t>E. 5.4</w:t>
      </w:r>
    </w:p>
    <w:p>
      <w:r>
        <w:t>Ne discende che questi reiterati comportamenti criminosi, sanzionati da specifiche norme del diritto penale, possono portare all'emissione di un divieto d'entrata poiché costituendo indubbiamente una violazione e mettendo in pericolo l'ordine e la sicurezza pubblici, adempiono ai requisiti dell'art. 67 cpv. 2 lett. a LStr. Va altresì considerato che A._______ ha commesso numerosi delitti di natura patrimoniale ed in materia di circolazione stradale anche in Croazia, egli rappresenta pertanto una minaccia per l'ordine e la sicurezza pubblici non solo in Svizzera, bensì anche all'estero.</w:t>
      </w:r>
    </w:p>
    <w:p>
      <w:r>
        <w:rPr>
          <w:b/>
        </w:rPr>
        <w:t>E. 6.1</w:t>
      </w:r>
    </w:p>
    <w:p>
      <w:r>
        <w:t>Occorre ora stabilire se il divieto d'entrata della durata di tre anni pronunciato dalla SEM nei confronti dell'interessato sia conforme al principio di proporzionalità, e procedendo ad un apprezzamento degli interessi privati e pubblici in causa, valutare se sia adeguato alle circostanze del caso di specie.</w:t>
      </w:r>
    </w:p>
    <w:p>
      <w:r>
        <w:rPr>
          <w:b/>
        </w:rPr>
        <w:t>E. 6.2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6.3</w:t>
      </w:r>
    </w:p>
    <w:p>
      <w:r>
        <w:t>Quo all'interesse pubblico all'allontanamento del ricorrente dal territorio elvetico, si è già detto ai considerandi precedenti.</w:t>
      </w:r>
    </w:p>
    <w:p>
      <w:r>
        <w:rPr>
          <w:b/>
        </w:rPr>
        <w:t>E. 6.4</w:t>
      </w:r>
    </w:p>
    <w:p>
      <w:r>
        <w:t>In merito agli interessi privati, il ricorrente si è richiamato principalmente all'art. 8 CEDU, il quale protegge il diritto al rispetto della vita privata e familiare. Questa disposizione non garantisce tuttavia il diritto di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6.5</w:t>
      </w:r>
    </w:p>
    <w:p>
      <w:r>
        <w:t>Affinché uno straniero possa prevalersi di tale disposizione, deve intrattenere una relazione stretta, effettiva ed intatta con una persona della sua famiglia al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6.6</w:t>
      </w:r>
    </w:p>
    <w:p>
      <w:r>
        <w:t>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6.7</w:t>
      </w:r>
    </w:p>
    <w:p>
      <w:r>
        <w:t>Nel caso concreto il ricorrente ha sottolineato che la decisione dell'autorità inferiore comporterebbe l'impossibilità di intrattenere i rapporti con la moglie ed i figli residenti in Svizzera ed affetti da una rara malattia genetica, per questo motivo essi necessiterebbero permanentemente della sua presenza e del suo sostegno. A._______ ha inoltre insistito sull'intensità di detti legami e che un'eventuale separazione dal padre e marito getterebbe nello sconforto i figli e la moglie.</w:t>
      </w:r>
    </w:p>
    <w:p>
      <w:r>
        <w:rPr>
          <w:b/>
        </w:rPr>
        <w:t>E. 6.8</w:t>
      </w:r>
    </w:p>
    <w:p>
      <w:r>
        <w:t>Il Tribunale ritiene che dagli atti all'inserto non risulti che i rapporti familiari intrattenuti da A._______ con moglie e figli raggiunga un'intensità sufficiente affinché possano prevalersi della protezione conferita dall'art. 8 CEDU. Il ricorrente non è infatti mai stato in possesso di un permesso di dimora in Svizzera, ma al contrario nel periodo compreso tra il 4 aprile 2007 ed il 3 aprile 2012 è stato oggetto di una prima decisione di divieto d'entrata. Al proposito è d'uopo osservare come all'epoca l'interessato fosse già sentimentalmente legato a B._______, inoltre da questa relazione era già nata la primogenita e nel (...) anche un secondo figlio. L'insorgente ha sostenuto che in quel periodo le relazioni fossero mantenute grazie ai viaggi in Croazia compiuti dalla moglie e dai figli durante le vacanze scolastiche. Successivamente la famiglia avrebbe convissuto in Ticino, dove A._______ si sarebbe di volta in volta recato al beneficio di visti turistici. Appare quantomeno curioso che, nonostante l'asserita intensità dei legami con i familiari e gli indubbi inconvenienti che la presenza temporanea tramite permessi di 90 giorni comportasse, il ricorrente abbia proceduto a richiedere il rilascio di un permesso di soggiorno unicamente nel settembre 2014 (cfr. domanda di rilascio di un visto di lunga durata del 16 settembre 2014, incarto Simic, pagg. 25-27), dopo la pronuncia del decreto d'accusa del 30 aprile 2014 e dopo 10 anni dalla nascita della prima figlia. Occorre inoltre considerare che, ad eccezione delle allegazioni del ricorrente, non appare chiaro per quale motivo la presenza di quest'ultimo presso i familiari sia indispensabile per la presa a carico dei figli e della moglie. Al proposito va segnalato come A._______ non sia in possesso della licenza di condurre in quanto gli era stata revocata a tempo indeterminato il 7 aprile 2008 (cfr. decreto d'accusa del Ministero pubblico del Canton Ticino del 30 aprile 2014, incarto Simic, pag. 22).</w:t>
      </w:r>
    </w:p>
    <w:p>
      <w:r>
        <w:rPr>
          <w:b/>
        </w:rPr>
        <w:t>E. 6.9</w:t>
      </w:r>
    </w:p>
    <w:p>
      <w:r>
        <w:t>È altresì opinione dello scrivente Tribunale che i legami familiari tra l'insorgente ed i familiari non raggiungano un grado di intensità sufficiente ai sensi dell'art. 8 CEDU anche da un punto di vista economico. Non risulta infatti che A._______ contribuisca al mantenimento della sua famiglia, agli atti non vi sono infatti indizi che lascino pensare che gli sia attivo professionalmente. Al contrario emerge come sia la moglie, al beneficio di una rendita invalidità e delle relative prestazioni complementari, a provvedere al sostentamento economico del nucleo familiare.</w:t>
      </w:r>
    </w:p>
    <w:p>
      <w:r>
        <w:rPr>
          <w:b/>
        </w:rPr>
        <w:t>E. 6.10</w:t>
      </w:r>
    </w:p>
    <w:p>
      <w:r>
        <w:t>Da quanto precede discende che la decisione impugnata non viola l'art. 8 CEDU ed il ricorrente non può fondare alcun diritto sulla base di tale disposizione.</w:t>
      </w:r>
    </w:p>
    <w:p>
      <w:r>
        <w:rPr>
          <w:b/>
        </w:rPr>
        <w:t>E. 6.11</w:t>
      </w:r>
    </w:p>
    <w:p>
      <w:r>
        <w:t>Nel suo gravame A._______ ha negato che il suo agire delittuoso rappresenti un pericolo e minacci l'ordine e la sicurezza pubblici. In particolare per quanto concerne le infrazioni in materia di circolazione stradale egli ha affermato che tali comportamenti fossero dovuti al desiderio di aiutare la famiglia in stato di bisogno. Al proposito il Tribunale condivide l'opinione dell'autorità inferiore secondo cui la guida di veicoli a motore sprovvisto dei necessari permessi e soprattutto in condizioni di inattitudine possano contribuire al benessere dei familiari. Questo tipo di condotta rappresentava in realtà un reale pericolo per il ricorrente stesso e per gli altri utenti della strada, considerato l'elevato quantitativo di alcol riscontrato nel corpo del ricorrente. Il medesimo ragionamento è valido anche per quel che concerne l'infrazione di truffa commessa dal ricorrente. Tale comportamento non può essere giustificabile e comporta la messa in pericolo dell'ordine e della sicurezza pubblici. In definitiva i citati reati perpetrati da A._______, caratterizzati da un alto grado di recidiva, oltre a rappresentare in realtà una minaccia sufficientemente grave per l'ordine e la sicurezza pubblici giustificante una misura di allontanamento dal territorio elvetico, dimostrano che il pericolo rappresentato dal ricorrente è altresì attuale (cfr. in merito a questa problematica DTF 139 II 121 consid. 5.5).</w:t>
      </w:r>
    </w:p>
    <w:p>
      <w:r>
        <w:rPr>
          <w:b/>
        </w:rPr>
        <w:t>E. 6.12</w:t>
      </w:r>
    </w:p>
    <w:p>
      <w:r>
        <w:t>Ciò posto, il Tribunale considera che l'interesse pubblico all'allontanamento di A._______ dalla Svizzera e dal Liechtenstein prevale su quello di quest'ultimo ad entrarvi. Di conseguenza, da una corretta valutazione degli interessi pubblici e privati in gioco, emerge che il divieto d'entrata di tre anni è adeguato alle circostanze del caso concreto.</w:t>
      </w:r>
    </w:p>
    <w:p>
      <w:r>
        <w:rPr>
          <w:b/>
        </w:rPr>
        <w:t>E. 7</w:t>
      </w:r>
    </w:p>
    <w:p>
      <w:r>
        <w:t>Ne discende che la SEM con la decisione del 25 agosto 2015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8</w:t>
      </w:r>
    </w:p>
    <w:p>
      <w:r>
        <w:t>Le spese processuali di fr. 1'000.- che seguono la soccombenza sono poste a carico del ricorrente (art. 63 cpv. 1 e 5 PA nonché art. 3 lett. b del regolamento sulle tasse e le spese ripetibili nelle cause dinanzi al Tribunale amministrativo federale del 21 febbraio 2008 [TS-TAF, RS 173.320.2]).</w:t>
      </w:r>
    </w:p>
    <w:p>
      <w:r>
        <w:rPr>
          <w:b/>
        </w:rPr>
        <w:t>E. 9</w:t>
      </w:r>
    </w:p>
    <w:p>
      <w:r>
        <w:t>Visto l'esito della procedura,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