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F-7607/2015 vom 25. Juli 2016</w:t>
      </w:r>
    </w:p>
    <w:p>
      <w:r>
        <w:t>Bundesverwaltungsgericht, 2016-07-25, DE</w:t>
      </w:r>
    </w:p>
    <w:p>
      <w:r>
        <w:rPr>
          <w:b/>
        </w:rPr>
        <w:t xml:space="preserve">Quelle: </w:t>
      </w:r>
      <w:r>
        <w:t>https://mcp.opencaselaw.ch/entscheid/bvger_F-7607_2015</w:t>
      </w:r>
    </w:p>
    <w:p>
      <w:r>
        <w:t>FR: TAF F-7607/2015 du 25 juillet 2016</w:t>
      </w:r>
    </w:p>
    <w:p>
      <w:r>
        <w:t>IT: TAF F-7607/2015 del 25 luglio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 535/2013 vom 9. Juli 2015 E. 4 m.H.).</w:t>
      </w:r>
    </w:p>
    <w:p>
      <w:r>
        <w:rPr>
          <w:b/>
        </w:rPr>
        <w:t>E. 4.1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w:t>
      </w:r>
    </w:p>
    <w:p>
      <w:r>
        <w:rPr>
          <w:b/>
        </w:rPr>
        <w:t>E. 4.3</w:t>
      </w:r>
    </w:p>
    <w:p>
      <w:r>
        <w:t>Die in Art. 67 Abs. 3 AuG statuierte Regelhöchstdauer eines Einreiseverbots beträgt fünf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5</w:t>
      </w:r>
    </w:p>
    <w:p>
      <w:r>
        <w:t>Am 5. Oktober 2009 wurde der Beschwerdeführer vom Tribunal Correctionnel d'Arrondissement de Lausanne wegen Drogendelikten zu einer bedingten Freiheitsstrafe von sechzehn Monaten verurteilt. Mit Urteil vom 29. Juni 2012 erklärte ihn das Strafgericht des Kantons Basel-Stadt sodann des Verbrechens gegen das BetmG schuldig, was eine unbedingte Freiheitsstrafe von fünf Jahren und drei Monaten nach sich zog und die Vollziehbarkeit der bedingt ausgesprochenen ersten Freiheitsstrafe zur Folge hatte. Mit seiner mehrfachen Delinquenz hat der Beschwerdeführer ohne Zweifel gegen die öffentliche Sicherheit und Ordnung verstossen bzw. polizeiliche Schutzgüter gefährdet und damit einen Fernhaltegrund im Sinne von Art. 67 Abs. 2 Bst. a AuG gesetzt. Wohl handelt es sich um eine Kann-Bestimmung, schwere Verstösse gegen die Betäubungsmittelgesetzgebung im In- oder Ausland werden gemäss geltender Praxis jedoch regelmässig mit mehr- bzw. langjährigen Fernhaltemassnahmen geahndet (vgl. dazu eingehender E. 6.5 weiter hinten). Die Voraussetzungen von Art. 67 Abs. 2 Bst. a AuG sind somit erfüllt.</w:t>
      </w:r>
    </w:p>
    <w:p>
      <w:r>
        <w:rPr>
          <w:b/>
        </w:rPr>
        <w:t>E. 6.1</w:t>
      </w:r>
    </w:p>
    <w:p>
      <w:r>
        <w:t>Das angefochtene Einreiseverbot gilt für eine Dauer von zwölf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6.2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Hieraus ergibt sich die prinzipielle Zulässigkeit von Fernhaltemassnahmen, welche die in Art. 67 Abs. 3 erster Satz AuG genannte Höchstdauer von fünf Jahren überschreiten.</w:t>
      </w:r>
    </w:p>
    <w:p>
      <w:r>
        <w:rPr>
          <w:b/>
        </w:rPr>
        <w:t>E. 6.3</w:t>
      </w:r>
    </w:p>
    <w:p>
      <w:r>
        <w:t>Eine Störung der öffentlichen Sicherheit und Ordnung durch Drogendelikte kann nach dem soeben Gesagten schon allein angesichts der besonderen Hochwertigkeit der involvierten Rechtsgüter als Grundlage für die Annahme einer schwerwiegenden Gefahr im Sinne von Art. 67 Abs. 3 zweiter Satz AuG dienen (BGE 139 II 121 E. 6.3). Vorausgesetzt wird allerdings, dass die Wahrscheinlichkeit der Realisierung hinreichend gross ist. Sie muss signifikant höher sein als diejenige, die der Annahme einer rechtlichen relevanten Gefahr im Sinne von Art. 67 Abs. 2 Bst. a AuG zugrunde liegt (vgl. etwa Urteil des BVGer C-6635/2013 vom 19. Mai 2015 E. 6.3).</w:t>
      </w:r>
    </w:p>
    <w:p>
      <w:r>
        <w:rPr>
          <w:b/>
        </w:rPr>
        <w:t>E. 6.4</w:t>
      </w:r>
    </w:p>
    <w:p>
      <w:r>
        <w:t>Aus den Akten geht hervor, dass der Beschwerdeführer während seiner Anwesenheit hierzulande mehrere Male mit dem Gesetz in Konflikt geriet. Im Vordergrund stehen die im Oktober 2009 bzw. Juni 2012 abgeurteilten Drogendelikte (siehe auch Sachverhalt Bst. B.a und B.c oder E. 5 weiter vorne). Im ersten Fall erachtete es das Strafgericht als erwiesen an, dass der Beschwerdeführer im Sommer 2008 beim Transport von 50 Gramm Heroin (zirka 20 Gramm reines Heroin) als Mittäter agiert hat. Noch während der Probezeit stieg er wieder in den Drogenhandel ein. Laut dem entsprechenden Urteil des Strafgerichts des Kantons Basel-Stadt vom 29. Juni 2012 war er im Zeitraum März/April 2011 - vor allem als sog. "Läufer" - im Heroingeschäft seines Schwagers tätig, wobei man ihm diesmal eine Betäubungsmittelmenge von sieben Kilogramm anlastete. Aufgrund des Zusammenwirkens mit seinem Schwager erfüllte er nicht nur den Qualifikationsgrund gemäss Art. 19 Ziff. 2 Bst. a BetmG, sondern auch denjenigen der Bandenmässigkeit. Das Bundesgericht bezeichnete den Beschwerdeführer im Verfahren betr. Widerrufs der Niederlassungsbewilligung als Rückfalltäter, der wiederholt im Drogenhandel schwer strafffällig geworden sei (siehe Urteil 2C_722/2014 E. 3). Es besteht daher ein manifestes Interesse daran, ihn längerfristig von der Schweiz fernzuhalten.</w:t>
      </w:r>
    </w:p>
    <w:p>
      <w:r>
        <w:rPr>
          <w:b/>
        </w:rPr>
        <w:t>E. 6.5</w:t>
      </w:r>
    </w:p>
    <w:p>
      <w:r>
        <w:t>Bei der Frage, ob der Beschwerdeführer aktuell eine Gefährdung darstellt, kommt es wesentlich auf das Rückfallrisiko an. Die Straftaten, derentwegen er strafrechtlich zur Rechenschaft gezogen wurde, sprechen für eine besondere Tätergefährlichkeit, denn qualifizierte Widerhandlungen gegen das Betäubungsmittelgesetz haben nicht nur in Bezug auf den Kreis der Opfer, sondern auch angesichts ihrer räumlichen Ausbreitungsmöglichkeiten gravierende Auswirkungen (vgl. E. 6.2 hiervor). Gemäss bundesgerichtlicher Rechtsprechung, die im Einklang mit derjenigen des Europäischen Gerichtshofes für Menschenrechte (EGMR) steht, ist bei solchen Delikten ein strenger Massstab anzuwenden und selbst ein geringes Restrisiko weiterer Störungen nicht in Kauf zu nehmen (vgl. etwa BGE 139 I 145 E. 2.5, BGE 131 II 352 E. 4.3.1 und BGE 125 II 521 E. 4a oder Urteil des BGer 2C_282/2012 vom 31. Juli 2012 E. 2.5 je m.H.). Negativ ins Gewicht fallen beim Beschwerdeführer in dieser Hinsicht die grosse Gesundheitsgefährdung durch den Handel mit Heroin im mehrfachen Kilogrammbereich, die bandenmässige Begehung, das Handeln in der Probezeit und aus rein finanziellen Motiven (keine Drogenabhängigkeit) sowie die sich in der einschlägigen Verurteilung aus jüngerer Vergangenheit (2009) manifestierende Unbelehrbarkeit. Anzumerken bliebe an dieser Stelle, dass das Strafgericht des Kantons Basel-Stadt die besonderen persönlichen Umstände (Krebserkrankung [von welcher der Betroffene inzwischen genesen ist], die ab 2005 zur zwangsweisen Aufgabe seines damaligen Gastronomiebetriebes, und damit einhergehend, zur Anhäufung von Schulden führte) bei der Strafzumessung bereits mitgewürdigt hat. Vor diesem Hintergrund ist die von ihm ausgehende Gefahr für die öffentliche Sicherheit und Ordnung als schwerwiegend im Sinne von Art. 67 Abs. 3 zweiter Satz AuG anzusehen.</w:t>
      </w:r>
    </w:p>
    <w:p>
      <w:r>
        <w:rPr>
          <w:b/>
        </w:rPr>
        <w:t>E. 6.6</w:t>
      </w:r>
    </w:p>
    <w:p>
      <w:r>
        <w:t>Soweit die Gattin des Beschwerdeführers in ihrem Unterstützungsschreiben vom 11. Januar 2016 einwendet, ihr Mann sei mit der abgesessenen Strafe (ohne je Urlaub bekommen zu haben) ja genug gebüsst, gilt es klarzustellen,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eine andere Gewichtung der angesprochenen Kriterien und ein im Vergleich mit den Straf- und Strafvollzugsbehörden strengerer Beurteilungsmassstab (vgl. BGE 137 II 233 E. 5.2.2 oder Urteil des BGer 2C_516/2014 vom 24. März 2015 E. 4.3.2 je m.H.). Die angefochtene Verfügung führt mithin nicht zu einer zusätzlichen Bestrafung. Die Ausgestaltung des Strafvollzugs wiederum bildet nicht Gegenstand des vorliegenden Verfahrens.</w:t>
      </w:r>
    </w:p>
    <w:p>
      <w:r>
        <w:rPr>
          <w:b/>
        </w:rPr>
        <w:t>E. 6.7</w:t>
      </w:r>
    </w:p>
    <w:p>
      <w:r>
        <w:t>Sodann versichert die Schweizer Ehefrau auf Beschwerdeebene, ihr Mann werde nie mehr kriminell werden. Eine Gewähr dafür, dass der Beschwerdeführer sich künftig an die Rechtsordnung halten wird, ist damit aber keineswegs gegeben, zumal weder die Beziehungen zu Gattin und Kindern noch die erste strafrechtliche Verurteilung und die daran anknüpfende ausländerrechtliche Verwarnung ihn seinerzeit von weiterer - noch massiverer - Delinquenz abzuhalten vermochten. In diesem Zusammenhang wäre zu ergänzen, dass für die Berechnung der Dauer des klaglosen Verhaltens nicht auf den Begehung- oder Urteilszeitpunkt abzustellen ist. Von vorrangiger Bedeutung erscheint stattdessen, wie lange sich eine straffällig gewordene Person nach ihrer Entlassung aus der Haft in Freiheit bewährt hat (vgl. BVGE 2014/20 E. 5.4 m.H.). Die Zeit, welche der Betroffene in Untersuchungshaft und anschliessend im Strafvollzug verbracht hat (September 2011 bis Mitte Dezember 2015), kann mit anderen Worten nicht als Basis für die Beurteilung der Rückfallgefahr dienen, sieht man einmal davon ab, dass er in der fraglichen Zeit immerhin achtmal disziplinarisch negativ auffiel (zur Bedeutung des Verhaltens einer Person im Straf- oder Massnahmevollzug generell vgl. beispielsweise Urteil 2C_282/2012 E. 2.5 vorerwähnt und BGer 2C_768/2011 vom 4. Mai 2012 E. 4.3 m.H. oder BGE 137 II 233 E. 5.2.2). Der Beschwerdeführer wurde mit Entscheid des Amtes für Justizvollzug des Kantons Basel-Stadt vom 24. September 2015 auf den 19. Dezember 2015 hin bedingt aus dem Strafvollzug entlassen. Die seit der Haftentlassung verstrichene Zeit ist - mit Blick auf die verletzten Rechtsgüter - viel zu kurz, als dass dies an der derzeitigen Risikoeinschätzung etwas zu ändern vermag. Hinzu kommt, dass er noch bis zum 27. Februar 2018 unter dem Druck der Probezeit steht, was ein korrektes Verhalten seinerseits ohnehin nahelegt (siehe Urteil des BGer 2C_888/2012 vom 14. März 2013 E. 4.2.4 m.H.). Aufgrund dessen kann eine schwerwiegende Rückfallgefahr bis auf weiteres nicht als gebannt betrachtet werden.</w:t>
      </w:r>
    </w:p>
    <w:p>
      <w:r>
        <w:rPr>
          <w:b/>
        </w:rPr>
        <w:t>E. 6.8</w:t>
      </w:r>
    </w:p>
    <w:p>
      <w:r>
        <w:t>Damit ist festzustellen, dass der Beschwerdeführer zum heutigen Zeitpunkt eine schwerwiegende Gefahr für die öffentliche Sicherheit und Ordnung darstellt. Das gegen ihn verhängte Einreiseverbot darf damit die Dauer von fünf Jahren gemäss Art. 67 Abs. 3 AuG überschreiten.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7.2</w:t>
      </w:r>
    </w:p>
    <w:p>
      <w:r>
        <w:t>Vom Beschwerdeführer geht wie dargetan (vgl. E. 6.4 - 6.7) eine schwerwiegende Gefahr für die öffentliche Sicherheit und Ordnung in einem besonders sensiblen Bereich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7.3</w:t>
      </w:r>
    </w:p>
    <w:p>
      <w:r>
        <w:t>Den sich aus den vorstehenden Ausführungen ergebenden öffentlichen Interessen sind die privaten Interessen der Betroffenen gegenüberzustellen. Der Beschwerdeführer stellt seine familiäre Situation ins Zentrum und führt aus, dass seine Ehefrau und die Kinder ihm nicht in sein Heimatland folgen könnten. Damit beruft er sich implizit auf das in Art. 8 EMRK und Art. 13 BV verankerte Recht auf Familienleben.</w:t>
      </w:r>
    </w:p>
    <w:p>
      <w:r>
        <w:rPr>
          <w:b/>
        </w:rPr>
        <w:t>E. 7.4</w:t>
      </w:r>
    </w:p>
    <w:p>
      <w:r>
        <w:t>Hervorzuheben ist an dieser Stelle zunächst,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auf den Zeitpunkt der Entlassung aus dem Strafvollzug hin, verlassen. Aspekte wie beispielsweise ein langer Voraufenthalt hierzulande können im Rahmen des vorliegenden Verfahrens nur sehr eingeschränkt Berücksichtigung finden. Im Folgenden stellt sich daher einzig die Frage, ob die über die Verweigerung des Aufenthaltsrechts hinausgehende, durch das Einreiseverbot zusätzlich bewirkte Erschwernis, nicht zuletzt mit Blick auf das Kindeswohl, vor Art. 8 Ziff. 1 EMRK und Art. 13 Abs. 1 BV standhält (vgl. zum Ganzen auch BVGE 2013/4 E. 7.4.1 und 7.4.2).</w:t>
      </w:r>
    </w:p>
    <w:p>
      <w:r>
        <w:rPr>
          <w:b/>
        </w:rPr>
        <w:t>E. 7.5</w:t>
      </w:r>
    </w:p>
    <w:p>
      <w:r>
        <w:t>Der Pflege der familiären Beziehungen auf Schweizer Boden steht wie eben erwähnt nicht die angefochtene Verfügung, sondern die fehlende Aufenthaltsbewilligung entgegen. Das Einreiseverbot als solches beeinträchtigt das Interesse des Beschwerdeführers an einem von staatlichen Eingriffen ungestörten Familienleben nur soweit, als er eine Suspension einholen muss (Art. 67 Abs. 5 AuG). Wohl wird die Suspension praxisgemäss nur für eine kurze und klar begrenzte Zeit gewährt und sie darf das Einreiseverbot nicht aushöhlen, die damit verbundenen bzw.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w:t>
      </w:r>
    </w:p>
    <w:p>
      <w:r>
        <w:rPr>
          <w:b/>
        </w:rPr>
        <w:t>E. 7.6</w:t>
      </w:r>
    </w:p>
    <w:p>
      <w:r>
        <w:t>Daneben ist es den Betroffenen zuzumuten, die Kontakte untereinander mittels Telefon oder moderner Kommunikationsmittel (SMS, WhatsApp, Skype, Facebook, usw.) zu pflegen oder sich ausserhalb der Schweiz (und der übrigen Schengen-Staaten) zu treffen. Das verfassungs- und konventionsrechtlich garantierte Recht auf Achtung des Familienlebens vermittelt ohnehin keinen Anspruch auf freie Wahl des für das Familienleben am geeignetsten erscheinenden Ortes (BGE 137 I 247 E. 4.1.1 m.H.). Des Weiteren wird nochmals an die Tatsache erinnert, dass der Beschwerdeführer nach der bedingt ausgesprochenen ersten Freiheitsstrafe von der kantonalen Migrationsbehörde am 28. Juni 2010 förmlich verwarnt worden ist. Es wurden ihm einschneidende ausländerrechtliche Massnahmen in Aussicht gestellt, falls er erneut gerichtlich bestraft oder weiterhin sozialhilfeabhängig werden sollte (vgl. Sachverhalt Bst. B.b). Der Beschwerdeführer schlug diese Warnungen ohne Rücksicht auf das Wohl seiner Ehefrau und dasjenige der Kinder in den Wind (als er im Frühjahr 2011 zum zweiten Mal mit Heroin handelte, waren alle fünf Kinder auf der Welt). Die sich daraus ergebenden Konsequenzen, insbesondere die Erschwerung der familiären Kontakte auf Schweizer Boden und Schengener Gebiet, hat er sich selbst zuzuschreiben.</w:t>
      </w:r>
    </w:p>
    <w:p>
      <w:r>
        <w:rPr>
          <w:b/>
        </w:rPr>
        <w:t>E. 7.7</w:t>
      </w:r>
    </w:p>
    <w:p>
      <w:r>
        <w:t>Die intakten Beziehungen zur Ehefrau und den gemeinsamen Kindern sind bei der Interessenabwägung nicht ohne jede Bedeutung. Dass dem so ist, ist in erster Linie der vorrangigen Bedeutung des Kindeswohls geschuldet (vgl. dazu BVGE 2014/20 E. 8.3.6 oder BGE 135 I 153 E. 2.2.2 m.H.). Das Kinderinteresse, mit beiden Elternteilen Kontakte zu pflegen, bildet dennoch nur einen Gesichtspunkt unter anderen, den es miteinzubeziehen gilt (vgl. Art. 3 Abs. 1 des Übereinkommens vom 20. November 1989 über die Rechte des Kindes [KRK, SR 0.107]). Im Kontext der vorangehenden Ausführungen vermag das private Interesse des Beschwerdeführers das öffentliche Interesse an seiner Fernhaltung allerdings selbst unter besonderer Berücksichtigung seiner Beziehung zu den fünf Kindern nicht entscheidend zurückzudrängen. Sodann vermittelt ihm auch Art. 10 Abs. 2 KRK kein Recht, in die Schweiz einreisen zu dürfen (siehe etwa Urteil des BVGer C-6335/2014 vom 9. Juli 2015 E. 6.4 m.H. oder wiederum BVGE 2014/20 E. 8.3.6).</w:t>
      </w:r>
    </w:p>
    <w:p>
      <w:r>
        <w:rPr>
          <w:b/>
        </w:rPr>
        <w:t>E. 7.8</w:t>
      </w:r>
    </w:p>
    <w:p>
      <w:r>
        <w:t>Ein Einreiseverbot kann bei einer schwerwiegenden Gefahr für fünf bis fünfzehn Jahre ausgesprochen werden, im Wiederholungsfall für bis zu zwanzig Jahre (vgl. BVGE 2014/20 E. 7). Eine wertende Gewichtung der gegenläufigen öffentlichen und privaten Interessen führt das Bundesverwaltungsgericht zum Ergebnis, dass das auf zwölf Jahre befristete Einreiseverbot unter Berücksichtigung aller relevanten Beurteilungselemente (Verletzung besonders hochwertiger Rechtsgüter; zweimalige Verurteilung wegen qualifizierter Betäubungsmitteldelikte; Verlauf des Strafvollzugs; relativierte Bedeutung von Voraufenthalt in der Schweiz und familiärer Situation; Maximaldauer einer Fernhaltemassnahme bei Rückfalltätern) eine verhältnismässige und angemessene Massnahme darstellt.</w:t>
      </w:r>
    </w:p>
    <w:p>
      <w:r>
        <w:rPr>
          <w:b/>
        </w:rPr>
        <w:t>E. 8.1</w:t>
      </w:r>
    </w:p>
    <w:p>
      <w:r>
        <w:t>Zu prüfen bleibt die Rechtmässigkeit der von der Vorinstanz angeordneten und vom Beschwerdeführer beanstandeten Ausschreibung des Einreiseverbots im SIS.</w:t>
      </w:r>
    </w:p>
    <w:p>
      <w:r>
        <w:rPr>
          <w:b/>
        </w:rPr>
        <w:t>E. 8.2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[EU] Nr. 2016/399 des Europäischen Parlaments und des Rates vom 9. März 2016 über einen Gemeinschaftskodex, SGK, Abl. L 77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8.3</w:t>
      </w:r>
    </w:p>
    <w:p>
      <w:r>
        <w:t>Wie an anderer Stelle angetönt (siehe E. 3 weiter vorne), können Personen, die weder Bürger der EU noch Angehörige eines Staates sind, mit dem die EU ein Freizügigkeitsabkommen abgeschlossen hat (Drittstaatsangehörige), im SIS zur Einreise- und Aufenthaltsverweigerung ausgeschrieben werden, wenn die "Angemessenheit, Relevanz und Bedeutung des Falles" eine solche Massnahme rechtfertigen (Art. 2 und 21 SIS-II-VO).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Taten im Hoheitsgebiet eines Mitgliedstaats plant (Art. 24 Ziff. 2 Bst. b SIS-II-VO).</w:t>
      </w:r>
    </w:p>
    <w:p>
      <w:r>
        <w:rPr>
          <w:b/>
        </w:rPr>
        <w:t>E. 8.4</w:t>
      </w:r>
    </w:p>
    <w:p>
      <w:r>
        <w:t>Der Beschwerdeführer kann als Drittstaatsangehöriger grundsätzlich zur Einreise- bzw. Aufenthaltsverweigerung im SIS ausgeschrieben werden. Die von ihm zu verantwortenden Straftaten erfüllen sodann ohne weiteres den von Art. 24 Ziff. 2 Bst. a SIS-II-VO verlangten Schweregrad. Einer Ausschreibung steht daher nichts entgegen. Hinzuzufügen wäre,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Wahrung der Interessen der Gesamtheit der Schengen-Staaten verpflichtet ist (BVGE 2011/48 E. 6.1). Die Schweiz hat dabei in Rechnung zu stellen, dass wegen des Wegfalls systematischer Personenkontrollen an den Schengen-Innengrenzen Einreiseverbote und ähnliche Massnahmen ihre volle Wirksamkeit nur entfalten können, wenn sich ihre Geltung und ihre Durchsetzbarkeit nicht auf einzelne Schengen-Staaten beschränkt (siehe Urteil des BVGer C-7086/2014 vom 14. Oktober 2015 E. 6.4).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einhergehende zusätzliche Beeinträchtigung der persönlichen Bewegungsfreiheit hat er mithin in Kauf zu nehmen. Die Voraussetzungen für die Ausschreibung des Einreiseverbots sind demnach erfüllt.</w:t>
      </w:r>
    </w:p>
    <w:p>
      <w:r>
        <w:rPr>
          <w:b/>
        </w:rPr>
        <w:t>E. 9</w:t>
      </w:r>
    </w:p>
    <w:p>
      <w:r>
        <w:t>Aus diesen Erwägungen folgt, dass die angefochtene Verfügung im Lichte von Art. 49 VwVG nicht zu beanstanden ist. Die Beschwerde ist somit abzuweisen.</w:t>
      </w:r>
    </w:p>
    <w:p>
      <w:r>
        <w:rPr>
          <w:b/>
        </w:rPr>
        <w:t>E. 10.1</w:t>
      </w:r>
    </w:p>
    <w:p>
      <w:r>
        <w:t>Bei diesem Verfahrensausgang würde der Beschwerdeführer grundsätzlich kostenpflichtig (Art. 63 Abs. 1 VwVG i.V.m. Art. 1, Art. 2 und Art. 3 Bst. b des Reglements vom 21. Februar 2008 über die Kosten und Entschädigungen vor dem Bundesverwaltungsgericht [VGKE, SR 173.320]). Seine Gattin ersuchte mit Eingabe vom 11. Januar 2016 jedoch nachträglich um Gewährung der unentgeltlichen Rechtspflege (Art. 65 Abs. 1 VwVG). In der verfahrensleitenden Anordnung des Bundesverwaltungsgerichts vom 5. Februar 2016 wurde der Entscheid darüber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Die Voraussetzungen von Art. 65 Abs. 1 VwVG sind erfüllt, weil das eingereichte Rechtsmittel nicht von vornherein aussichtslos war und die prozessuale Bedürftigkeit des Beschwerdeführers ausgewiesen scheint.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