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F-7605/2016 vom 26. Oktober 2018</w:t>
      </w:r>
    </w:p>
    <w:p>
      <w:r>
        <w:t>Bundesverwaltungsgericht, 2018-10-26, DE</w:t>
      </w:r>
    </w:p>
    <w:p>
      <w:r>
        <w:rPr>
          <w:b/>
        </w:rPr>
        <w:t xml:space="preserve">Quelle: </w:t>
      </w:r>
      <w:r>
        <w:t>https://mcp.opencaselaw.ch/entscheid/bvger_F-7605_2016</w:t>
      </w:r>
    </w:p>
    <w:p>
      <w:r>
        <w:t>FR: TAF F-7605/2016 du 26 octobre 2018</w:t>
      </w:r>
    </w:p>
    <w:p>
      <w:r>
        <w:t>IT: TAF F-7605/2016 del 26 ottobre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(Art. 37 VGG).</w:t>
      </w:r>
    </w:p>
    <w:p>
      <w:r>
        <w:rPr>
          <w:b/>
        </w:rPr>
        <w:t>E. 1.2</w:t>
      </w:r>
    </w:p>
    <w:p>
      <w:r>
        <w:t>Der Beschwerdeführer ist als Verfügungsadressat zur Erhebung der Beschwerde legitimiert (Art. 48 Abs. 1 VwVG). Auch die übrigen Sachurteilsvoraussetzungen sind erfüllt (vgl. Art. 50 und 52 VwVG).</w:t>
      </w:r>
    </w:p>
    <w:p>
      <w:r>
        <w:rPr>
          <w:b/>
        </w:rPr>
        <w:t>E. 1.3</w:t>
      </w:r>
    </w:p>
    <w:p>
      <w:r>
        <w:t>Das Bundesverwaltungsgericht entscheidet in vorliegender Sache endgültig (vgl. Art. 83 Bst. c Ziff. 1 BGG).</w:t>
      </w:r>
    </w:p>
    <w:p>
      <w:r>
        <w:rPr>
          <w:b/>
        </w:rPr>
        <w:t>E. 2</w:t>
      </w:r>
    </w:p>
    <w:p>
      <w:r>
        <w:t>Mit Beschwerde beim Bundesverwaltungsgericht können vorliegend die Verletzung von Bundesrecht einschliesslich Überschreitung oder Missbrauch des Ermessens, die unrichtige und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Vorab ist die Rüge des Beschwerdeführers zu behandeln, die Verhältnismässigkeitsprüfung halte wegen ihrer Begründungstiefe rechtsstaatlichen Prinzipien nicht stand und verletze damit das rechtliche Gehör.</w:t>
      </w:r>
    </w:p>
    <w:p>
      <w:r>
        <w:rPr>
          <w:b/>
        </w:rPr>
        <w:t>E. 3.2</w:t>
      </w:r>
    </w:p>
    <w:p>
      <w:r>
        <w:t>Der Anspruch auf rechtliches Gehör im Sinn von Art. 29 Abs. 2 BV und Art. 29 ff. VwVG umfasst verschiedene verfassungsrechtliche Garantien. Eine davon ist die Begründungspflicht gemäss Art. 35 VwVG. Sie soll den Betroffenen in die Lage versetzen, den Entscheid sachgerecht anzufechten. Die Behörde hat daher kurz die wesentlichen Überlegungen zu nennen, von denen sie sich leiten liess und auf die sie ihren Entscheid stützt (BGE 141 V 557 E. 3.2.1; 136 I 229 E. 5.2; Urteile des BGer 2D_14/2018 vom 13. August 2018 E. 3.1 sowie 2C_633/2017 vom 2. Mai 2018 E. 3.2 je m.H.). Je weiter der Entscheidungsspielraum, je komplexer die Sach- und Rechtslage der betroffenen Person, desto höhere Anforderungen sind an die Begründung zu stellen (zum Ganzen Urteil des BVGer F-7526/2015 vom 20. Dezember 2016 E. 3.2 m.H.).</w:t>
      </w:r>
    </w:p>
    <w:p>
      <w:r>
        <w:rPr>
          <w:b/>
        </w:rPr>
        <w:t>E. 3.3</w:t>
      </w:r>
    </w:p>
    <w:p>
      <w:r>
        <w:t>Aus der angefochtenen Verfügung wird klar, wieso die Vorinstanz dem Beschwerdeführer ein fünfjähriges Einreiseverbot auferlegte. Insbesondere mit der Fokussierung auf sein wiederholtes deliktisches Handeln wird ein bestehendes öffentliches Fernhalteinteresse aufgezeigt. Dass die Ausführungen zu den privaten Interessen bloss sehr knapp ausfallen (Hinweis auf Suspensionsgesuche wegen Gesundheitszustand und Kontakt zur Familie) sowie zuweilen implizite Aspekte aufweisen (Vorbringen der allgemeinen Verhältnismässigkeit des Einreiseverbots), vermag keine Gehörsverletzung zu begründen. Dies vor dem Hintergrund, dass Einreiseverbote zu den mengenmässig häufigsten Anordnungen der schweizerischen Verwaltungspraxis zählen und die Vorinstanz speditiv zu entscheiden hat (Effizienzgrundsatz). Auch kann und muss die Begründungsdichte erstinstanzlicher Entscheide nicht derjenigen höherer Instanzen entsprechen (Urteile des BVGer F-7574/2015 vom 19. Januar 2017 E. 3.4 sowie F-7526/2015 vom 20. Dezember 2016 E. 3.3.3 je m.H.). Entscheidend ist, dass es dem Beschwerdeführer vorliegend möglich war, sich sachgerecht gegen die vorinstanzliche Verfügung zur Wehr zu setzen. Die Rüge der Gehörsverletzung erweist sich demnach als unbegründet.</w:t>
      </w:r>
    </w:p>
    <w:p>
      <w:r>
        <w:rPr>
          <w:b/>
        </w:rPr>
        <w:t>E. 4.1</w:t>
      </w:r>
    </w:p>
    <w:p>
      <w:r>
        <w:t>Gegenüber Ausländern, die gegen die öffentliche Sicherheit und Ordnung verstossen haben, kann gestützt auf Art. 67 Abs. 2 Bst. a des Bundesgesetzes vom 16. Dezember 2005 über die Ausländerinnen und Ausländer (Ausländergesetz, AuG, SR 142.20) ein Einreiseverbot verfügt werden. Ein Verstoss gegen die öffentliche Sicherheit und Ordnung ist insbesondere gegeben, wenn gesetzliche Vorschriften oder behördliche Verfügungen missachtet werden (Art. 80 Abs. 1 Bst. a der Verordnung vom 24. Oktober 2007 über Zulassung, Aufenthalt und Erwerbstätigkeit [VZAE, SR 142.201]).</w:t>
      </w:r>
    </w:p>
    <w:p>
      <w:r>
        <w:rPr>
          <w:b/>
        </w:rPr>
        <w:t>E. 4.2</w:t>
      </w:r>
    </w:p>
    <w:p>
      <w:r>
        <w:t>Einreiseverbote werden grundsätzlich für eine Dauer von höchstens fünf Jahren erlassen (Art. 67 Abs. 3 erster Satz AuG). Geht von der Person indessen eine schwerwiegende Gefahr für die öffentliche Sicherheit und Ordnung aus, ist die Anordnung eines länger als fünf Jahre dauernden Einreiseverbots zulässig (Art. 67 Abs. 3 zweiter Satz AuG). Die Annahme einer schwerwiegenden Gefahr für die öffentliche Sicherheit und Ordnung im Sinn von Art. 67 Abs. 3 zweiter Satz AuG setzt eine qualifizierte Gefährdungslage voraus. Über deren Vorliegen ist nach Massgabe aller Umstände des Einzelfalls zu befinden. Sie ist nicht leichthin anzunehmen. Gemäss Rechtsprechung kann sie sich aus der Hochwertigkeit des deliktisch bedrohten Rechtsguts (z.B. Leib und Leben, körperliche und sexuelle Integrität), aus der Zugehörigkeit des drohenden Delikts zur besonders schweren Kriminalität mit grenzüberschreitender Dimension (z.B. Drogenhandel), aus der wiederholten Delinquenz und ihrer zunehmenden Schwere oder aus dem Fehlen einer günstigen Prognose ergeben. Die zu befürchtenden Delikte müssen einzeln oder in ihrer Summe das Potential haben, eine aktuelle und schwerwiegende Gefahr zu begründen (BGE 139 II 121 E. 6.3; vgl. auch Urteil des BGer 2C_520/2017 vom 15. November 2017 E. 3.2.6). Zur Verneinung des Vorliegens einer solchen Gefährdung bedarf es einer längerfristigen Bewährung der straffälligen Person. Dabei ist für die Berechnung der Dauer des klaglosen Verhaltens nicht auf den Begehungs- oder Urteilszeitpunkt abzustellen. Entscheidend ist vielmehr, wie lange sich die betroffene Person nach ihrer Entlassung aus der Haft in Freiheit bewährt hat (vgl. BVGE 2014/20 E. 5.4 m.H.). Zu beachten ist schliesslich die vom Strafrecht divergierende Zielsetzung des Ausländerrechts: Während der Strafvollzug auch dem Resozialisierungsgedanken Rechnung trägt, steht für die Migrationsbehörden das Interesse der öffentlichen Sicherheit und Ordnung im Vordergrund. Daraus ergibt sich im Ausländerrecht ein strengerer Beurteilungsspielraum (zum Ganzen Urteil des BVGer F-1388/2017 vom 24. Juli 2018 E. 4.3 m.H.).</w:t>
      </w:r>
    </w:p>
    <w:p>
      <w:r>
        <w:rPr>
          <w:b/>
        </w:rPr>
        <w:t>E. 4.3</w:t>
      </w:r>
    </w:p>
    <w:p>
      <w:r>
        <w:t>Der Beschwerdeführer trat während seines langjährigen Aufenthalts in der Schweiz wiederholt und über eine Zeitspanne von 20 Jahren strafrechtlich in Erscheinung. Wegen Strassenverkehrsdelikten verurteilte ihn etwa das Bezirksamt X.______ am 17. September 2002 zu einer bedingten Gefängnisstrafe von vier Wochen (SZ-act. S. 127-129). Gestützt auf einen Strafbescheid des Untersuchungsamts Y._______ vom 12. August 2008 machte er sich ausserdem der Teilnahme an einem Angriff schuldig (SZ-act. S. 456 f.). Aktenkundig ist auch die Verurteilung durch das Untersuchungsamt Y._______ vom 3. Dezember 2009 zu einer bedingten Geldstrafe von 150 Tagessätzen sowie einer Busse von Fr. 1'000. , da er mitunter zweimal in fahrunfähigem Zustand (qualifizierte Blutalkoholkonzentration bzw. unter Drogeneinfluss [Kokain]) einen Personenwagen gelenkt und über rund zehn Jahre Kokain konsumiert hatte (SZ-act. S. 559-562). Mit Strafbefehl der Staatsanwaltschaft X._______ vom 9. Mai 2011 wurde er zudem wegen einfacher Körperverletzung und Drohung zu einer bedingten Geldstrafe von 80 Tagessätzen sowie einer Busse von Fr. 1'000. verurteilt (SZ-act. S. 643-645). Hinzu treten Widerhandlungen gegen das Ausländer- (Urteil des Bezirksgerichts Z._______ vom 24. September 2010 [SZ-act. 587-593]) sowie das Waffen- und Betäubungsmittelgesetz; auch machte er sich der Hinderung einer Amtshandlung schuldig (Strafbefehl der Staatsanwaltschaft II des Kantons Zürich vom 4. Oktober 2012 [SZ-act. S. 730]). Seine letzte Straftat beging er am 6. Juni 2012, als er gemäss Strafbefehl der Staatsanwaltschaft II des Kantons Zürich vom 14. April 2014 einem SUVA-Mitarbeiter - nach einem negativen Bescheid betreffend Taggeld - mit dem Tod drohte (SZ-act. S. 721-724). In der Zeit von Oktober 1994 bis Dezember 2004 musste ihm des Weiteren wegen Verkehrsdelikten insgesamt acht Mal der Führerausweis entzogen werden bzw. wurde ihm dieser zuletzt sicherungsweise entzogen (vgl. Aufstellung im Entscheid des Verwaltungsgerichts des Kantons Schwyz vom 22. Dezember 2015 [SEM act. A5/62-64 m.H.]).</w:t>
      </w:r>
    </w:p>
    <w:p>
      <w:r>
        <w:rPr>
          <w:b/>
        </w:rPr>
        <w:t>E. 4.4</w:t>
      </w:r>
    </w:p>
    <w:p>
      <w:r>
        <w:t>Mit diesem Verhalten verstiess der Beschwerdeführer zweifellos gegen die öffentliche Ordnung und Sicherheit gemäss Art. 67 Abs. 2 Bst. a AuG. Insbesondere fällt ins Gewicht, dass er - trotz zweier ausländerrechtlicher Verwarnungen (SZ-act. S. 194 f. und 656-660) - während 20 Jahren wiederholt strafrechtlich in Erscheinung trat und mit diesem Verhalten eine deutliche Unbelehrbarkeit und Gleichgültigkeit an den Tag legte. Eine qualifizierte Gefährdungslage im Sinn von Art. 67 Abs. 3 zweiter Satz AuG ist im jetzigen Zeitpunkt hingegen nicht (mehr) gegeben. Dies scheint im Übrigen auch die Auffassung der Vorinstanz zu sein, die dem Beschwerdeführer an keiner Stelle der angefochtenen Verfügung explizit oder implizit vorhält, er stelle eine qualifizierte Gefährdung dar. Die Rede ist lediglich davon, dass eine Fernhaltemassnahme im Sinn von Art. 67 AuG angezeigt sei. Für die vorliegende Verneinung einer schwerwiegenden Gefahr nach Art. 67 Abs. 3 zweiter Satz AuG entscheidend sind die Besonderheiten der Deliktstruktur sowie der Zeitablauf seit Begehung der letzten Straftat. So erreichte das deliktische Handeln des Beschwerdeführers in den Jahren 2008 bis 2011 seinen Höhepunkt (Verurteilungen wegen Angriffs, mehrmaligen Fahrens in fahrunfähigem Zustand sowie einfacher Körperverletzung; vgl. vorn E. 4.3). Insbesondere durch das wiederholte Fahren in fahrunfähigem Zustand gefährdete der Beschwerdeführer zwar in schwerwiegender Weise die Verkehrssicherheit sowie das Leben anderer Verkehrsteilnehmer und damit gewichtige Rechtsgüter (vgl. BGE 139 II 121 E. 5.5.1). Dabei ist jedoch relativierend zu beachten, dass seit 2009 keine weiteren Verurteilungen wegen Strassenverkehrsdelikten dazu kamen. Ohne die Vielzahl an Straftaten zu verharmlosen, wertet das Bundesverwaltungsgericht sodann die nicht besondere Schwere der Einzeldelikte leicht zugunsten des Beschwerdeführers; die Betäubungsmitteldelikte dienten etwa bloss dem Eigenkonsum. Auch wurde er vorwiegend zu bedingten Strafen verurteilt und befand sich insgesamt lediglich rund zwei Monate im Freiheitsentzug. Ihm ist ebenfalls zugute zu halten, dass er das letzte Vergehen im Juni 2012 und damit vor mehr als sechs Jahren beging und er sich seither nichts mehr zu Schulden kommen liess.</w:t>
      </w:r>
    </w:p>
    <w:p>
      <w:r>
        <w:rPr>
          <w:b/>
        </w:rPr>
        <w:t>E. 4.5</w:t>
      </w:r>
    </w:p>
    <w:p>
      <w:r>
        <w:t>Das Einreiseverbot ist demzufolge dem Grundsatz nach zu bestätigen, soweit damit seine zulässige Dauer auf fünf Jahre begrenzt wird (vgl. Art. 67 Abs. 2 Bst. a i.V.m. Art. 67 Abs. 3 erster Satz AuG).</w:t>
      </w:r>
    </w:p>
    <w:p>
      <w:r>
        <w:rPr>
          <w:b/>
        </w:rPr>
        <w:t>E. 5.1</w:t>
      </w:r>
    </w:p>
    <w:p>
      <w:r>
        <w:t>Zu prüfen bleibt, ob das auf fünf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ihr beeinträchtigten privaten Interessen des Betroffenen andererseits vorzunehmen. Die Stellung der verletzten und gefährdeten Rechtsgüter, die Besonderheiten des ordnungswidrigen Verhaltens und die persönlichen Verhältnisse des Verfügungsbelasteten bilden hierbei den Ausgangspunkt der Überlegungen (Art. 96 AuG; ferner statt vieler BVGE 2014/20 E. 8.1; Urteil des BVGer F-1388/2017 vom 24. Juli 2018 E. 5.1 je m.H.).</w:t>
      </w:r>
    </w:p>
    <w:p>
      <w:r>
        <w:rPr>
          <w:b/>
        </w:rPr>
        <w:t>E. 5.2</w:t>
      </w:r>
    </w:p>
    <w:p>
      <w:r>
        <w:t>Wie dargelegt liegt wegen des Verhaltens des Beschwerdeführers eine Gefährdung der öffentlichen Ordnung und Sicherheit gemäss Art. 67 Abs. 2 Bst. a AuG vor (vgl. vorn E. 4.4). Es besteht demnach ein gewichtiges, general- und spezialpräventiv motiviertes öffentliches Interesse an der längerfristigen Fernhaltung des Beschwerdeführers. Angesichts des Wohlverhaltens in den letzten Jahren verschiebt sich dabei das Schwergewicht allmählich von der Spezial- auf die Generalprävention (vgl. Urteil des BVGer F-5290/2015 vom 3. Juli 2017 E. 7.1).</w:t>
      </w:r>
    </w:p>
    <w:p>
      <w:r>
        <w:rPr>
          <w:b/>
        </w:rPr>
        <w:t>E. 5.3</w:t>
      </w:r>
    </w:p>
    <w:p>
      <w:r>
        <w:t>Der Beschwerdeführer beruft sich auf die Garantie des Familien- und Privatlebens im Sinn von Art. 8 EMRK. Es treffe ihn schon genug, dass er die Schweiz und damit seine Familie verlassen müsse. Ein Einreiseverbot schränke die persönlichen und unmittelbaren Kontaktmöglichkeiten zu Frau, Kindern und weiteren hier lebenden Verwandten zusätzlich ein, verunmögliche es ihm doch sporadische Reisen in die Schweiz. Weiter sei zu berücksichtigen, dass er sich hierzulande seit mehr als 25 Jahren legal aufhalte. Vor diesem Hintergrund sei die Fernhaltemassnahme unverhältnismässig und rechtswidrig, zumal er im Kosovo keine Familienangehörige habe. Im Übrigen leide er an zahlreichen medizinischen Beeinträchtigungen. Insbesondere seien eine schizoaffektive Erkrankung und ein posttraumatisches Stresssyndrom diagnostiziert worden, derentwegen er stationär behandelt werde. Von einer Behandlung andernorts sowie in einem grossen räumlichen Abstand zur Familie sei in diesem Kontext abzuraten.</w:t>
      </w:r>
    </w:p>
    <w:p>
      <w:r>
        <w:rPr>
          <w:b/>
        </w:rPr>
        <w:t>E. 5.4</w:t>
      </w:r>
    </w:p>
    <w:p>
      <w:r>
        <w:t>Vorliegend fragt sich lediglich, ob der über den Verlust des Aufenthaltsrechts hinausgehende, durch das Einreiseverbot zusätzlich bewirkte Eingriff in die Interessen des Beschwerdeführers einer rechtlichen Prüfung standhält (Urteile des BVGer F-1388/2017 vom 24. Juli 2018 E. 5.4 und 5.5 sowie F-5290/2015 vom 3. Juli 2017 E. 7.3 und 7.4). Bei Vorliegen wichtiger Gründe können Einreiseverbote gestützt auf Art. 67 Abs. 5 AuG gesuchsweise für kurze, klar begrenzte Zeit suspendiert werden. Demnach liegt die Erschwernis während der Geltungsdauer der Fernhaltemassnahme - entgegen den Vorbringen des Beschwerdeführers - nicht in einem absoluten Verbot von Einreisen. Vielmehr besteht die Einschränkung in der Notwendigkeit, im Vorfeld eines Besuchsaufenthalts in der Schweiz eine vorübergehende Aufhebung des Einreiseverbots zu erwirken. In diesem Rahmen hat der Beschwerdeführer weiterhin die Möglichkeit, Beziehungen zu Verwandten und Freunden in der Schweiz zu pflegen (vgl. BVGE 2014/20 E. 8.3.4; zu den Einreisevoraussetzungen kosovarischer Staatsangehöriger Urteil des BVGer F-5290/2015 vom 3. Juli 2017 E. 7.4). Den Beteiligten steht es ausserdem offen, den Kontakt mit modernen Kommunikationsmitteln aufrecht zu erhalten oder sich ausserhalb des Schengen-Gebiets, z.B. im Kosovo, zu treffen. Bei der Güterabwägung ist ausserdem zu berücksichtigen, dass die Kinder des Beschwerdeführers zum Teil die Volljährigkeit erreichten. Unter diesen Umständen vermag das Einreiseverbot als solches die Pflege der Beziehung zu seiner hier lebenden Familie insgesamt nur in einem erheblich relativierten Umfang zu beeinträchtigen.</w:t>
      </w:r>
    </w:p>
    <w:p>
      <w:r>
        <w:rPr>
          <w:b/>
        </w:rPr>
        <w:t>E. 5.5</w:t>
      </w:r>
    </w:p>
    <w:p>
      <w:r>
        <w:t>Insbesondere im Hinblick auf die Befristung des Einreiseverbots ist der Integration des Beschwerdeführers Bedeutung beizumessen. Dabei ist zu bemerken, dass der Beschwerdeführer als 17-jähriger in die Schweiz einreiste und hier während rund 25 Jahren über ein Bleiberecht verfügte. Damit verbrachte er prägende Jahre seiner (Spät-)Adoleszenz bzw. als junger Erwachsener hierzulande. Enge Bindungen zur Schweiz können dem Beschwerdeführer deshalb nicht abgesprochen werden. Vor allem angesichts seines langwierigen deliktischen Verhaltens ist eine erfolgreiche Integration dennoch zu verneinen (vgl. Art. 4 AuG i.V.m. Art. 4 Bst. a der Verordnung vom 24. Oktober 2007 über die Integration von Ausländerinnen und Ausländern [VIntA, SR 142.205]). Kommt hinzu, dass auch die wirtschaftliche Integration nicht als besonders gelungen zu betrachten ist (vgl. Art. 4 Bst. d VIntA; eingehend hierzu Urteil des BGer 2C_159/2016 vom 26. September 2016 E. 4.2).</w:t>
      </w:r>
    </w:p>
    <w:p>
      <w:r>
        <w:rPr>
          <w:b/>
        </w:rPr>
        <w:t>E. 5.6</w:t>
      </w:r>
    </w:p>
    <w:p>
      <w:r>
        <w:t>Das Einreiseverbot entfaltet seine Wirkung erst ab Ausreise bzw. nach erfolgtem Wegweisungsvollzug (vgl. Urteil des BVGer F-6530/2016 vom 7. September 2017 E. 2). Entsprechend sind die gesundheitlichen Beeinträchtigungen des Beschwerdeführers in diesem Zusammenhang zu prüfen und für das vorliegende Verfahren ohne Bedeutung. Der Vollständigkeit halber sei erwähnt, dass sich das Bundesgericht eingehend mit dieser Frage auseinander gesetzt und das Vorliegen von Vollzugshindernissen verneint hat (Urteil des BGer 2D_14/2018 vom 13. August 2018 E. 5 bis 7).</w:t>
      </w:r>
    </w:p>
    <w:p>
      <w:r>
        <w:rPr>
          <w:b/>
        </w:rPr>
        <w:t>E. 5.7</w:t>
      </w:r>
    </w:p>
    <w:p>
      <w:r>
        <w:t>Trotz der erwähnten Einschränkungen und Relativierungen ist nicht zu verkennen, dass das mit dem Einreiseverbot verbundene Kontrollregime den Beschwerdeführer erheblich trifft. Namentlich mit Blick auf die lange Aufenthaltsdauer sowie die Erschwerung familiärer Kontakte zur Schweiz - aber auch die Deliktstruktur und sein Wohlverhalten seit Begehung der letzten Straftat - erscheint dem Bundesverwaltungsgericht das vollumfängliche Ausschöpfen der gesetzlichen Regelmaximaldauer von fünf Jahren unangemessen (vgl. vorn E. 4.5). Auf Grundlage einer wertenden Gewichtung der sich gegenüberstehenden Interessen ist die Fernhaltemassnahme um ein Jahr zu reduzieren. Damit wird den auf dem Spiel stehenden öffentlichen und privaten Interessen zureichend Rechnung getragen. Eine Befristung des Einreiseverbots auf vier Jahre erscheint auch angesichts der einschlägigen Rechtsprechung verhältnismässig und angemessen (vgl. etwa Urteil des BVGer F-5290/2015 vom 3. Juli 2017).</w:t>
      </w:r>
    </w:p>
    <w:p>
      <w:r>
        <w:rPr>
          <w:b/>
        </w:rPr>
        <w:t>E. 6</w:t>
      </w:r>
    </w:p>
    <w:p>
      <w:r>
        <w:t>Unter diesen Umständen ist auch die Ausschreibung des Beschwerdeführers im SIS II nicht zu beanstanden (vgl. Art. 21 und 24 der Verordnung [EG] Nr. 1987/2006 des Europäischen Parlaments und des Rates vom 20. Dezember 2006 über die Einrichtung, den Betrieb und die Nutzung des Schengener Informationssystems der zweiten Generation, Abl. L 381/4 vom 28.12.2006).</w:t>
      </w:r>
    </w:p>
    <w:p>
      <w:r>
        <w:rPr>
          <w:b/>
        </w:rPr>
        <w:t>E. 7</w:t>
      </w:r>
    </w:p>
    <w:p>
      <w:r>
        <w:t>Der Antrag des Beschwerdeführers um Sistierung des vorliegenden Verfahrens ist mit Urteil des Bundesgerichts vom 13. August 2018 gegenstandslos geworden (Urteil 2D_14/2018).</w:t>
      </w:r>
    </w:p>
    <w:p>
      <w:r>
        <w:rPr>
          <w:b/>
        </w:rPr>
        <w:t>E. 8</w:t>
      </w:r>
    </w:p>
    <w:p>
      <w:r>
        <w:t>Gestützt auf die obigen Erwägungen sowie in Anbetracht von Art. 49 VwVG verletzte die Vorinstanz mit dem auf fünf Jahre bemessenen Einreiseverbot Bundesrecht (vgl. vorn E. 4.7). Die Beschwerde ist deshalb teilweise gutzuheissen und das gegen den Beschwerdeführer verhängte Einreiseverbot bis zum 31. Dezember 2020 zu befristen.</w:t>
      </w:r>
    </w:p>
    <w:p>
      <w:r>
        <w:rPr>
          <w:b/>
        </w:rPr>
        <w:t>E. 9.1</w:t>
      </w:r>
    </w:p>
    <w:p>
      <w:r>
        <w:t>Dem Ausgang des vorliegenden Verfahrens entsprechend sind dem Beschwerdeführer im Umfang des Unterliegens reduzierte Verfahrenskosten aufzuerlegen (Art. 63 Abs. 1 VwVG). In Anwendung von Art. 1, 2 und 3 Bst. b des Reglements vom 21. Februar 2008 über die Kosten und Entschädigungen vor dem Bundesverwaltungsgericht (VGKE, SR 173.320.2) sind diese auf Fr. 800. festzusetzen.</w:t>
      </w:r>
    </w:p>
    <w:p>
      <w:r>
        <w:rPr>
          <w:b/>
        </w:rPr>
        <w:t>E. 9.2</w:t>
      </w:r>
    </w:p>
    <w:p>
      <w:r>
        <w:t>Dem Beschwerdeführer ist ferner zu Lasten der Vorinstanz im Umfang des Obsiegens eine gekürzte Parteienschädigung für notwendige und verhältnismässig hohe Kosten zuzusprechen (Art. 64 Abs. 1 und 2 i.V.m. Art. 7 Abs. 2 VGKE; vgl. Art. 8 bis 11 VGKE). Eine Kostennote liegt nicht vor, weshalb die Entschädigung auf Grundlage der Akten festzulegen ist (vgl. Art. 14 Abs. 1 und 2 VGKE). In Berücksichtigung des Umfangs und der Notwendigkeit der Eingaben, der Schwierigkeit der Streitsache in rechtlicher und tatsächlicher Hinsicht ist ein Ausgangshonorar im Pauschalbetrag von Fr. 1'800. festzusetzen. Dieser Betrag ist entsprechend zu kürzen, was zu einer Parteientschädigung von Fr. 360.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