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F-7602/2015 vom 7. Juni 2017</w:t>
      </w:r>
    </w:p>
    <w:p>
      <w:r>
        <w:t>Bundesverwaltungsgericht, 2017-06-07, FR</w:t>
      </w:r>
    </w:p>
    <w:p>
      <w:r>
        <w:rPr>
          <w:b/>
        </w:rPr>
        <w:t xml:space="preserve">Quelle: </w:t>
      </w:r>
      <w:r>
        <w:t>https://mcp.opencaselaw.ch/entscheid/bvger_F-7602_2015</w:t>
      </w:r>
    </w:p>
    <w:p>
      <w:r>
        <w:t>FR: TAF F-7602/2015 du 7 juin 2017</w:t>
      </w:r>
    </w:p>
    <w:p>
      <w:r>
        <w:t>IT: TAF F-7602/2015 del 7 giugno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SPOP de prolonger l'autorisation de séjour de la recourante et peuvent parfaitement s'écarter de l'appréciation faite par cette autorité.</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 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w:t>
      </w:r>
    </w:p>
    <w:p>
      <w:r>
        <w:rPr>
          <w:b/>
        </w:rPr>
        <w:t>E. 4.2</w:t>
      </w:r>
    </w:p>
    <w:p>
      <w:r>
        <w:t>En l'espèce, il appert du dossier que les ex-époux ont contracté mariage le 13 juin 2008 et ne font plus ménage commun depuis avril ou décembre 2012 (cf. audition du 24 septembre 2013 R 9 et pce TAF 1 annexes 10 et 12 p. 2). Par ailleurs, le divorce a été prononcé par jugement du Tribunal civil d'arrondissement de la Côte du 5 novembre 2015 (cf. pce TAF 1 annexe 12). Par conséquent, la recourante ne saurait se prévaloir des articles précités ; elle ne prétend d'ailleurs pas le contraire.</w:t>
      </w:r>
    </w:p>
    <w:p>
      <w:r>
        <w:rPr>
          <w:b/>
        </w:rPr>
        <w:t>E. 5</w:t>
      </w:r>
    </w:p>
    <w:p>
      <w:r>
        <w:t>Il convient dès lors d'examiner si l'intéressée peut se prévaloir d'un droit à la prolongation de son autorisation de séjour en vertu de l'art. 50 al. 1 let. a LEtr.</w:t>
      </w:r>
    </w:p>
    <w:p>
      <w:r>
        <w:rPr>
          <w:b/>
        </w:rPr>
        <w:t>E. 5.1</w:t>
      </w:r>
    </w:p>
    <w:p>
      <w:r>
        <w:t>En vertu de cette disposition, l'autorisation de séjour octroyée au conjoint au titre du regroupement familial selon l'art. 42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 137 II 345 consid. 3.1.2). Pour cela, il faut se baser essentiellement sur la durée pendant laquelle le couple a fait ménage commun en Suisse (cf. notamment ATF 138 II précité consid. 2 ; 136 II précité consid. 3.3.5), à savoir sur la durée extérieurement perceptible du domicile matrimonial commun (cf. notamment ATF 137 II précité consid. 3.1.2). Les séjours à l'étranger du couple ne font pas obstacle à l'application de l'art. 50 al. 1 let. a LEtr si l'addition des périodes de vie commune en Suisse aboutit à une durée supérieure à trois ans (cf. arrêt du TF 2C_1049/2014 du 14 juillet 2015 consid. 2.2.1 et réf. citées).</w:t>
      </w:r>
    </w:p>
    <w:p>
      <w:r>
        <w:rPr>
          <w:b/>
        </w:rPr>
        <w:t>E. 5.2</w:t>
      </w:r>
    </w:p>
    <w:p>
      <w:r>
        <w:t>Cela étant, l'intéressée est entrée en Suisse le 1er avril 2008 et a épousé B._______ le 13 juin 2008. En date du 21 août 2012 le prénommé, qui vivrait seul depuis le mois d'avril 2012 dans un studio à Nyon (cf. audition du 24 septembre 2013 R 9), a prétendu avoir été abusé par son épouse (pce TAF 1 annexe 8) et a demandé à ce qu'elle quitte le domicile conjugal. Par acte du 21 juillet 2012, ce dernier a sollicité la séparation officielle auprès du Tribunal d'arrondissement de la Côte (cf. PV du 24 septembre 2013 R 3). Après avoir déposé plainte en décembre 2012, la recourante a déménagé chez sa fille à Gland (cf. PV du 29 octobre 2013 R 5). Ce n'est que suite à un délai de réflexion accordé par le Tribunal d'arrondissement que celui-ci a prononcé la séparation officielle des époux par jugement du 20 décembre 2012. En l'absence de preuve contraire, et nonobstant certaines incertitudes quant aux faits de la présente affaire, le Tribunal ne saurait mettre en doute la durée de trois ans de vie commune en Suisse requise par l'art. 50 al. 1 let. a LEtr (cf. pce TAF 1 annexes 8 et 10). Cependant, dans la décision attaquée, l'autorité inférieure a estimé que la réalité d'une communauté conjugale effectivement vécue pendant trois ans au moins pouvait être sujette à caution au vu des éléments au dossier concernant le déroulement de la vie commune. Elle n'a toutefois pas analysé plus avant ce point en se bornant à conclure que de toute manière l'intégration sociale et professionnelle de l'intéressée n'était pas donnée dans la présente affaire. Or, on cherche en vain dans les actes de la cause des éléments suffisamment pertinents pour confirmer les doutes du SEM quant à la durée effective des trois ans de vie commune. Certes, l'ex-épouse a relevé avoir été victime de violences conjugales, comme cela ressort notamment du jugement du 30 avril 2014 (cf. pce TAF 1 annexe 11). Toutefois, B._______ n'a requis la séparation officielle de l'union conjugale que par correspondance du 21 août 2012 et ce n'est que suite à un délai de réflexion que le Tribunal d'arrondissement a autorisé les époux, par prononcé du 20 décembre 2012, à vivre séparés pour une durée indéterminée, ce qui incite à penser qu'il existait alors encore une relation vécue et tournée vers l'avenir jusque-là. Enfin, l'ex-conjoint a admis, par courriel du 29 janvier 2014, qu'il avait exagéré sa position par rapport à son épouse afin de rendre leur séparation plausible et qu'il était disposé à l'épouser à nouveau (cf. pce TAF 1 annexe 5). Au vu de tout ce qui précède, les violences alléguées ne permettent pas de mettre en doute le caractère effectif de la vie commune. Le SEM l'admet d'ailleurs lui-même dans la mesure où il estime que ces violences n'ont pas revêtu l'intensité suffisante pour justifier un cas de rigueur au sens de l'art. 50 al. 2 LEtr. Le Tribunal peut donc conclure que la durée perceptible du domicile matrimonial commun en Suisse a été supérieure à trois ans.</w:t>
      </w:r>
    </w:p>
    <w:p>
      <w:r>
        <w:rPr>
          <w:b/>
        </w:rPr>
        <w:t>E. 6.1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TF 2C_14/2014 du 27 août 2014 consid. 4.6.1 non publié in ATF 140 II 345 et 2C_292/2015 du 4 juin 2015 consid. 4.2).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A l'inverse, le fait pour une personne de ne pas avoir commis d'infractions pénales et de pourvoir à son entretien sans recourir à l'aide sociale ne permet pas, à lui seul, de retenir une intégration réussie (cf. arrêt du TF 2C_459/2014 du 29 octobre 2015 consid. 4.3.1). 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TAF C-2381/2015 du 8 février 2016 consid. 5.1.2). Lorsque l'étranger peut, de manière simple, se faire comprendre dans des situations quotidiennes typiques, son intégration linguistique doit être admise (cf. arrêt du TF 2C_175/2015 du 30 octobre 2015 consid. 2.3 et réf. citée).</w:t>
      </w:r>
    </w:p>
    <w:p>
      <w:r>
        <w:rPr>
          <w:b/>
        </w:rPr>
        <w:t>E. 6.2.1</w:t>
      </w:r>
    </w:p>
    <w:p>
      <w:r>
        <w:t>En l'occurrence, il sied tout d'abord de retenir en faveur de A._______ qu'elle n'a jamais eu de démêlés avec la justice et que la poursuite et l'acte de défaut de biens dont elle fait l'objet remontent à 2011, respectivement 2012 (cf. pce TAF 17 annexe 1).</w:t>
      </w:r>
    </w:p>
    <w:p>
      <w:r>
        <w:rPr>
          <w:b/>
        </w:rPr>
        <w:t>E. 6.2.2</w:t>
      </w:r>
    </w:p>
    <w:p>
      <w:r>
        <w:t>Sur le plan professionnel, la prénommée, laquelle dispose d'un Certificat d'Etudes en Science Phono et Music-plurilinguistique et d'un certificat de capacité du Département de l'économie de la République et canton de Genève (cf. pce TAF 1 annexes 17 et 18), n'allègue pas avoir travaillé durant son mariage. A ce propos, elle s'est prévalue des violences conjugales qu'elle aurait subies pendant sa vie commune, soulignant que son ex-époux lui avait interdit de travailler, unique raison pour laquelle elle n'aurait pas poursuivi d'activité lucrative durant cette période (cf. pce TAF 1 annexe 13). Le dossier contient à ce sujet notamment un certificat médical, une attestation du centre LAVI, ainsi qu'un courriel de B._______ expliquant avoir dû rendre leur séparation plausible afin de percevoir un soutien financier supplémentaire de la part du Service de prévoyance et d'aide sociales (SPAS ; cf. pce TAF 1 annexes 3, 4 et 5). Indépendamment de savoir si les violences pourraient constituer une raison personnelle majeure sous l'angle de l'art. 50 al. 1 let. b LEtr, il sied de relever que, dès sa séparation, l'intéressée a fait des efforts louables pour trouver rapidement du travail et s'assurer financièrement. Il ressort notamment des pièces du dossier qu'elle a exercé auprès de l'entreprise de travail temporaire « Serado SA » de 2012 à 2014. En outre, selon les certificats de salaire versés en cause, elle a exercé en 2016 dans des ménages privés pour au moins trois employeurs (cf. pce TAF 20 dans laquelle elle déclare exercer pour quatre employeurs et pce TAF 17 annexes 3 à 5) et a perçu un revenu annuel net de Fr. 26'843.-, allocations familiales comprises, (cf. pces TAF 17 et 19). Depuis le 13 avril 2017, elle travaille également cinq heures par semaine en tant qu'employée de maison pour F._______, étant précisé que sa période d'essai prendra fin à la mi-juillet 2017 (cf. pce TAF 24). S'agissant des fiches de salaire manquantes, elles ne peuvent être prises en considération dans la présente affaire dès lors qu'aucune pièce y faisant référence n'a été produite, nonobstant les démarches qui auraient été effectuées auprès de chaque employeur pour les obtenir (cf. pce TAF 20). On relèvera en outre qu'elle travaille auprès de G._______ et de H._______ depuis plusieurs années (cf. audition du 24 septembre 2013 R 11 et attestation du 8 juin 2013). En parallèle, la recourante s'est également pleinement investie en tant que vice-présidente au sein de l'Association Suisse-Mongolie (cf. pce TAF 1 annexe 16 et pce TAF 15 annexe 1).</w:t>
      </w:r>
    </w:p>
    <w:p>
      <w:r>
        <w:rPr>
          <w:b/>
        </w:rPr>
        <w:t>E. 6.2.3</w:t>
      </w:r>
    </w:p>
    <w:p>
      <w:r>
        <w:t>A cela s'ajoute que la recourante peut compter sur le soutien financier de sa fille, qui perçoit un salaire mensuel brut de Fr. 1'100.- dans le cadre de sa 3ème année d'apprentissage (cf. pce TAF 20 annexes 1 et 2) et qui contribue à hauteur de Fr. 300.- au loyer (cf. pce TAF 20 annexe 7). Cela étant, l'assistante sociale a relevé que l'intéressée avait les ressources suffisantes pour subvenir à ses besoins mais qu'elle n'était toutefois pas encore en mesure de régler ses arriérés, qui sont des dettes contractées alors qu'elle était encore mariée et qui sont donc solidairement dues entre son ex-conjoint et elle (cf. pce TAF 20 annexe 6). Le Tribunal de céans remarquera tout de même que ses poursuites, qui s'élevaient à plus de Fr. 31'800.- en 2014, ont légèrement diminué pour atteindre actuellement Fr. 23'162.- de poursuites et Fr. 6'513.- d'actes de défaut de biens (cf. décompte débiteur du 12 février 2014 et pce TAF 17 annexe 1).</w:t>
      </w:r>
    </w:p>
    <w:p>
      <w:r>
        <w:rPr>
          <w:b/>
        </w:rPr>
        <w:t>E. 6.2.4</w:t>
      </w:r>
    </w:p>
    <w:p>
      <w:r>
        <w:t>En conclusion, le Tribunal estime que c'est à tort que le SEM n'a pas pris en considération l'évolution favorable de la situation professionnelle de A._______ depuis la rupture de son union conjugale. A ce sujet, il sied notamment de tenir compte de la rapidité avec laquelle l'intéressée a réussi à se créer une situation professionnelle et financière stable après la fin de sa vie commune et des circonstances ayant accompagné cette reprise d'activité lucrative (sur la prise en considération d'efforts d'intégration accomplis après la séparation pour l'analyse du critère de l'intégration réussie au sens de l'art. 50 al. 1 let. a LEtr, cf. l'arrêt du TAF C-4103/2015 du 22 avril 2016 consid.7.4.3 et 7.4.4 et les références citées ainsi que l'arrêt du TF 2C_352/2014 du 18 mars 2015 consid. 4.3 s).</w:t>
      </w:r>
    </w:p>
    <w:p>
      <w:r>
        <w:rPr>
          <w:b/>
        </w:rPr>
        <w:t>E. 6.2.5</w:t>
      </w:r>
    </w:p>
    <w:p>
      <w:r>
        <w:t>Sur le plan de l'intégration sociale, il convient de relever les lettres de soutien produites provenant de son employeur actuel, de son ancien employeur, de l'association Suisse-Mongolie, de son beau-frère ainsi que de sa fille (cf. pce TAF 1 annexes 13, 14, 15, 16 et 21). On rappellera tout de même que, selon la jurisprudence, il n'est pas exceptionnel qu'une personne ayant effectué un séjour prolongé dans un pays tiers, tel que la prénommée qui séjourne en Suisse depuis plus de neuf ans, s'y soit créé des attaches et se soit familiarisée avec le mode de vie de ce pays. Il est également attendu d'une personne ayant résidé plusieurs années dans un même pays qu'elle parle au moins l'une des langues nationales. Cela étant, on ne saurait passer sous silence son engagement marqué au sein de l'association Suisse-Mongolie en qualité de vice-présidente, en promouvant, développant et organisant les activités culturelles mongoles et suisses. A titre d'exemple, elle a accompagné son équipe de basketball, dont elle est la responsable, à Berlin du 27 au 31 octobre 2016 (cf. pce TAF 15 annexe 1). Ainsi, l'intégration sociale peut également être considérée comme réussie dans le sens de l'art. 50 al. 1 let. a LEtr.</w:t>
      </w:r>
    </w:p>
    <w:p>
      <w:r>
        <w:rPr>
          <w:b/>
        </w:rPr>
        <w:t>E. 6.2.6</w:t>
      </w:r>
    </w:p>
    <w:p>
      <w:r>
        <w:t>Quant à ses compétences linguistiques, il convient de constater que la prénommée maîtrise la langue française. En effet, on rappellera qu'elle dispose d'un Certificat d'Etudes en Science Phono et Musico-plurilinguistique comprenant le français, l'anglais, le russe et le mongole. Par ailleurs, elle a vécu en Allemagne de 2005 à 2007, où elle a parfait ses connaissances de l'allemand (pce TAF 1 annexe 17 et mémoire de recours). Force est de constater qu'en pouvant s'exprimer dans deux langues nationales, l'intéressée se distingue de la grande majorité des étrangers vivant en Suisse, ce qui parle en sa faveur.</w:t>
      </w:r>
    </w:p>
    <w:p>
      <w:r>
        <w:rPr>
          <w:b/>
        </w:rPr>
        <w:t>E. 6.3</w:t>
      </w:r>
    </w:p>
    <w:p>
      <w:r>
        <w:t>Au vu de l'ensemble des éléments qui précèdent et en procédant à une pondération globale de tous les éléments mis en évidence, le Tribunal de céans considère que c'est à tort que le SEM a retenu que l'intégration de A._______ en Suisse ne pouvait pas être qualifiée de réussie au sens de l'art. 50 al. 1 let. a LEtr. Bien qu'il ne s'agisse pas d'un cas évident, compte tenu de la poursuite de Fr. 23'162.95 et de l'acte de défaut de biens de Fr. 6'513.90 (cf. supra consid. 6.2.1) qu'elle peine à rembourser (cf. pce TAF 20), le Tribunal estime en effet que l'on ne saurait faire abstraction du fait que l'intéressée, qui a vécu plus de neuf ans sur le territoire helvétique, a été très rapidement à même de se créer une situation professionnelle stable et d'assurer son autonomie financière après la rupture de son union conjugale (cf. pour un cas limite l'arrêt du TAF C-4103/2015 du 22 avril 2016 consid. 7.4.7 et réf. citée). Partant, il y a lieu de retenir que la recourante satisfait aux deux conditions d'application de l'art. 50 al. 1 let. a LEtr. Il est donc superflu d'examiner si les conditions posées par l'art. 50 al. 1 let. b en lien avec l'art. 50 al. 2 LEtr sont remplies dans le cas d'espèce.</w:t>
      </w:r>
    </w:p>
    <w:p>
      <w:r>
        <w:rPr>
          <w:b/>
        </w:rPr>
        <w:t>E. 7</w:t>
      </w:r>
    </w:p>
    <w:p>
      <w:r>
        <w:t>Cela étant, compte tenu de la situation financière de la recourante (cf. supra consid. 6.2.1 et 6.2.3), le Tribunal estime qu'il se justifie de lui adresser un avertissement formel au sens de l'art. 96 al. 2 LEtr (cf. à ce sujet Benjamin Schindler, in : M. Caroni / Th. Gächter / D. Thurnherr [éd.], Bundesgesetz über die Ausländerinnen und Ausländer [AuG], Berne 2010, ad art. 96 no 19) et de l'informer que les autorités compétentes pourraient être amenées à refuser de renouveler son autorisation de séjour si elle ne devait pas trouver un emploi stable lui permettant de rembourser régulièrement ses dettes, ne serait-ce que par le biais de mensualités modestes.</w:t>
      </w:r>
    </w:p>
    <w:p>
      <w:r>
        <w:rPr>
          <w:b/>
        </w:rPr>
        <w:t>E. 8</w:t>
      </w:r>
    </w:p>
    <w:p>
      <w:r>
        <w:t>En conséquence, le recours doit être admis, la décision attaquée annulée et la prolongation par les autorités cantonales vaudoises de l'autorisation de séjour de A._______ approuvée.</w:t>
      </w:r>
    </w:p>
    <w:p>
      <w:r>
        <w:rPr>
          <w:b/>
        </w:rPr>
        <w:t>E. 8.1</w:t>
      </w:r>
    </w:p>
    <w:p>
      <w:r>
        <w:t>Bien qu'elle succombe, l'autorité inférieure n'a pas à supporter de frais de procédure (art. 63 al. 2 PA). Obtenant gain de cause, la recourante n'a pas à supporter de frais de procédure (cf. art. 63 al. 1 a contrario et al. 3 PA).</w:t>
      </w:r>
    </w:p>
    <w:p>
      <w:r>
        <w:rPr>
          <w:b/>
        </w:rPr>
        <w:t>E. 8.2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à la recourante. En effet, le CSP Vaud pratique la politique de la gratuité (cf. arrêt du Tribunal administratif fédéral F-4009/2014 du 14 juillet 2016 consid. 7.2). Ainsi, force est de retenir que la mandante n'a pas à supporter de frais relativement élevés et ne saurait dès lors prétendre à des dépens (art. 64 al. 1 PA en relation avec l'art. 7 al. 4 FITAF ; cf. dans un cas similaire l'arrêt du TAF C-2388/2013 du 12 décembre 2014 consid. 9). En conséquence, la conclusion prise en ce sens doit être rejetée.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