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F-7601/2024 vom 12. Dezember 2024</w:t>
      </w:r>
    </w:p>
    <w:p>
      <w:r>
        <w:t>Bundesverwaltungsgericht, 2024-12-12, DE</w:t>
      </w:r>
    </w:p>
    <w:p>
      <w:r>
        <w:rPr>
          <w:b/>
        </w:rPr>
        <w:t xml:space="preserve">Quelle: </w:t>
      </w:r>
      <w:r>
        <w:t>https://mcp.opencaselaw.ch/entscheid/bvger_F-7601_2024</w:t>
      </w:r>
    </w:p>
    <w:p>
      <w:r>
        <w:t>FR: TAF F-7601/2024 du 12 décembre 2024</w:t>
      </w:r>
    </w:p>
    <w:p>
      <w:r>
        <w:t>IT: TAF F-7601/2024 del 12 dicembre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den Bestimmungen der Dublin-III-VO grundsätzlich Kroatien für die Behandlung der Asylgesuche der Beschwerdeführenden zuständig ist, dass das kroatische Asylsystem rechtsprechungsgemäss keine systemischen Mängel aufweist, aufgrund derer die Zuständigkeit gemäss Art. 3 Abs. 2 Dublin-III-VO auf die Schweiz überginge, und dass vorliegend keine völkerrechtlichen Vollzugshindernisse ersichtlich sind, welche die Schweiz zu einem Selbsteintritt nach Art. 17 Abs. 1 Dublin-III-VO verpflichten würden. Dabei hat sie namentlich die Vorbringen der Beschwerdeführenden im Hinblick auf die Erlebnisse in Kroatien im Zusammenhang mit der Stellung der Asylanträge sowie deren dokumentierten Gesundheitszustand berücksichtigt und rechtsprechungskonform gewürdigt. Insbesondere hat sie auch unter korrekter Anwendung der einschlägigen Rechtsprechung zu Art. 3 EMRK festgehalten, dass der schlechte psychische Gesundheitszustand der Beschwerdeführerin 1 nicht zu einer Verpflichtung der Schweiz, vom Selbsteintrittsrecht nach Art. 17 Abs. 1 Dublin-III-VO Gebrauch zu machen, führt und dabei richtigerweise berücksichtigt, dass der Beschwerdeführerin 1 in Kroatien der Zugang zur benötigten medizinischen und psychiatrischen Behandlung offensteht. Sie ist demnach zu Recht in Anwendung von Art. 31a Abs. 1 Bst. b AsylG auf die Asylgesuche der Beschwerdeführenden nicht eingetreten und hat in Anwendung von Art. 44 AsylG deren Wegweisung nach Kroatien angeordnet. Zur näheren Begründung wird auf die vorinstanzlichen Erwägungen verwiesen.</w:t>
      </w:r>
    </w:p>
    <w:p>
      <w:r>
        <w:rPr>
          <w:b/>
        </w:rPr>
        <w:t>E. 2.2</w:t>
      </w:r>
    </w:p>
    <w:p>
      <w:r>
        <w:t>Was die Beschwerdeführenden auf Rechtsmittelebene vorbringen, vermag daran nichts zu ändern. Soweit mit der Gefahr einer Kettenabschiebung argumentiert wird, ist darauf hinzuweisen, dass ohne die Feststellung, dass das Asylverfahren im ersuchten Mitgliedstaat systemische Schwachstellen aufweist, nicht geprüft werden darf, ob im konkreten Fall die Gefahr einer Verletzung des Grundsatzes des Non-Refoulement besteht (Urteil des BVGer F-4412/2024 vom 26. Juli 2024 E. 4.5 mit Verweis auf das Urteil des Europäischen Gerichtshofs [EuGH] vom 30. November 2023 in den verbundenen Rechtssachen C-228/21, C-254/21, C-297/21, C-315/21 und C-328/21, Rn. 129-142 und Dispositivziffer 2). Soweit in Bezug auf die Beschwerdeführer 2 und 3 mit der in Art. 3 des Übereinkommens vom 20. November 1989 über die Rechte des Kindes (nachfolgend: KRK, SR 0.107) verankerten Pflicht, das Wohl des Kindes vorrangig zu berücksichtigen, argumentiert wird, ist festzuhalten, dass aus der KRK kein Anspruch auf Aufenthalt im Staat mit den für ein Kind vorteilhaftesten Lebensbedingungen abgeleitet werden kann.</w:t>
      </w:r>
    </w:p>
    <w:p>
      <w:r>
        <w:rPr>
          <w:b/>
        </w:rPr>
        <w:t>E. 2.3</w:t>
      </w:r>
    </w:p>
    <w:p>
      <w:r>
        <w:t>Auch die formelle Rüge der Beschwerdeführenden, wonach die Vorinstanz ihre Untersuchungspflicht verletzt habe, erweist sich als unbegründet. Die Vorinstanz hat ihren Entscheid auf einen genügend abgeklärten Sachverhalt gestützt, weshalb keine Veranlassung besteht, das Eventualbegehren gutzuheissen und die angefochtene Verfügung zu kassieren.</w:t>
      </w:r>
    </w:p>
    <w:p>
      <w:r>
        <w:rPr>
          <w:b/>
        </w:rPr>
        <w:t>E. 2.4</w:t>
      </w:r>
    </w:p>
    <w:p>
      <w:r>
        <w:t>Weiter sind den Akten keine Anhaltspunkte zu entnehmen, welche es als notwendig erscheinen liessen, von den kroatischen Behörden vorab individuelle Zusicherungen hinsichtlich der psychiatrischen Versorgung sowie des Zugangs zu adäquater Unterbringung einzuholen. In der angefochtenen Verfügung wurde insbesondere bereits darauf hingewiesen, die kroatischen Behörden würden gestützt auf Art. 32 Dublin-III-VO vorab über den Gesundheitszustand der Beschwerdeführenden informiert. Das entsprechende Subeventualbegehren ist abzuweisen.</w:t>
      </w:r>
    </w:p>
    <w:p>
      <w:r>
        <w:rPr>
          <w:b/>
        </w:rPr>
        <w:t>E. 3</w:t>
      </w:r>
    </w:p>
    <w:p>
      <w:r>
        <w:t>Nach dem Gesagten ist die angefochtene Verfügung nicht zu beanstanden und die Beschwerde ist abzuweisen.</w:t>
      </w:r>
    </w:p>
    <w:p>
      <w:r>
        <w:rPr>
          <w:b/>
        </w:rPr>
        <w:t>E. 4</w:t>
      </w:r>
    </w:p>
    <w:p>
      <w:r>
        <w:t>Mit vorliegendem Urteil fällt der am 5. Dezember 2024 angeordnete Vollzugsstopp dahin und der Antrag auf Erteilung der aufschiebenden Wirkung wird gegenstandslos.</w:t>
      </w:r>
    </w:p>
    <w:p>
      <w:r>
        <w:rPr>
          <w:b/>
        </w:rPr>
        <w:t>E. 5</w:t>
      </w:r>
    </w:p>
    <w:p>
      <w:r>
        <w:t>Die Begehren erweisen sich als aussichtslos, weshalb das Gesuch um unentgeltliche Prozessführung (Art. 65 Abs. 1 VwVG) abzuweisen ist.</w:t>
      </w:r>
    </w:p>
    <w:p>
      <w:r>
        <w:rPr>
          <w:b/>
        </w:rPr>
        <w:t>E. 6</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