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F-75/2018 vom 25. April 2019</w:t>
      </w:r>
    </w:p>
    <w:p>
      <w:r>
        <w:t>Bundesverwaltungsgericht, 2019-04-25, FR</w:t>
      </w:r>
    </w:p>
    <w:p>
      <w:r>
        <w:rPr>
          <w:b/>
        </w:rPr>
        <w:t xml:space="preserve">Quelle: </w:t>
      </w:r>
      <w:r>
        <w:t>https://mcp.opencaselaw.ch/entscheid/bvger_F-75_2018</w:t>
      </w:r>
    </w:p>
    <w:p>
      <w:r>
        <w:t>FR: TAF F-75/2018 du 25 avril 2019</w:t>
      </w:r>
    </w:p>
    <w:p>
      <w:r>
        <w:t>IT: TAF F-75/2018 del 25 aprile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intéressés ont qualité pour recourir (art. 48 al. 1 PA). Présentés dans la forme et les délais prescrits par la loi, leurs recours sont recevables (cf. art. 50 et 52 PA).</w:t>
      </w:r>
    </w:p>
    <w:p>
      <w:r>
        <w:rPr>
          <w:b/>
        </w:rPr>
        <w:t>E. 2</w:t>
      </w:r>
    </w:p>
    <w:p>
      <w:r>
        <w:t>Le 1er janvier 2019, la loi sur les étrangers du 16 décembre 2005 (LEtr) a connu une modification partielle comprenant également un changement de sa dénomination (modification de la LEtr du 16 décembre 2015,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(cf. arrêts du TAF F-2068/2018 et F-2071/2018 du 1er février 2019 consid. 2).</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2 al. 1 de l'ancienne ordonnance du 22 octobre 2008 sur l'entrée et l'octroi de visas (aOEV, RS 142.204) - respectivement l'art. 3 al. 1 de la nouvelle ordonnance du 15 août 2018 sur l'entrée et l'octroi de visas (OEV, RS 142.204), entrée en vigueur le 15 septembre 2018 (cf. art. 70 OEV [disposition transitoire] et 71 OEV) et ne se distinguant pas matériellement de sa version antérieure sur ce point -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5.2</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w:t>
      </w:r>
    </w:p>
    <w:p>
      <w:r>
        <w:rPr>
          <w:b/>
        </w:rPr>
        <w:t>E. 5.3</w:t>
      </w:r>
    </w:p>
    <w:p>
      <w:r>
        <w:t>L'art. 2 al. 2 aOEV, respectivement l'art. 3 al. 2 et 3 OEV, dont la teneur ne se distingue pas fondamentalement de l'ancienne, prévoit, quant à lui, que l'argent en espèces ou des avoirs bancaires, une déclaration de prise en charge, une assurance médicale de voyage ou une autre garantie peuvent être acceptés comme preuves de moyens financiers suffisants. En vertu de l'art. 7 al. 1 aOEV (resp.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(art. 8 al. 1 et 5 aOEV, resp. art. 15 al. 1 et 5 OEV).</w:t>
      </w:r>
    </w:p>
    <w:p>
      <w:r>
        <w:rPr>
          <w:b/>
        </w:rPr>
        <w:t>E. 5.4</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une pièce attestant que le demandeur dispose de moyens financiers dans le pays de résidence, une attestation d'emploi et des relevés bancaires, toute preuve de la possession de biens immobiliers et toute preuve de l'intégration dans le pays de résidence (liens de parenté et situation professionnelle). Dans deux arrêts récents, le Tribunal de céans, se référant aux art. 5 al. 2 LEI et 6 par. 1 let. b et par. 3 du code frontières Schengen, a considéré que le versement d'une caution auprès d'un établissement bancaire en Suisse constituait une mesure supplémentaire qui pouvait être ordonnée par les autorités pour garantir un départ ponctuel du requérant à l'échéance de son visa (cf. arrêts du TAF F-2881/2018 du 24 janvier 2019 consid. 9.2 et F-190/2017 du 9 octobre 2018 consid. 8.3 [arrêts destinés à la publication aux ATAF]).</w:t>
      </w:r>
    </w:p>
    <w:p>
      <w:r>
        <w:rPr>
          <w:b/>
        </w:rPr>
        <w:t>E. 5.5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aOEV, resp. art. 2 let. d ch. 2, art. 3 al. 4 et al. 5, art. 11 let. b OEV ; art. 32 par. 1 en relation avec l'art. 25 par. 1 let. a et par. 2 du code des visas et art. 5 par. 4 let. c du code frontières Schengen).</w:t>
      </w:r>
    </w:p>
    <w:p>
      <w:r>
        <w:rPr>
          <w:b/>
        </w:rPr>
        <w:t>E. 5.6</w:t>
      </w:r>
    </w:p>
    <w:p>
      <w:r>
        <w:t>Le Règlement (CE) n° 539/2001 du Conseil du 15 mars 2001 (JO L 81 du 21 mars 2001, p. 1-7) - applicable par renvoi -, différencie en son art. 1 par. 1 et 2 les ressortissants des Etats tiers selon qu'ils sont soumis ou non à l'obligation du visa. Du fait que C._______ est une ressortissante chinoise, elle est soumise à l'obligation du visa.</w:t>
      </w:r>
    </w:p>
    <w:p>
      <w:r>
        <w:rPr>
          <w:b/>
        </w:rPr>
        <w:t>E. 6.1</w:t>
      </w:r>
    </w:p>
    <w:p>
      <w:r>
        <w:t>Dans sa décision du 4 décembre 2017, le SEM a considéré que la sortie de C._______ de l'Espace Schengen à l'issue du séjour projeté ne pouvait pas être considérée comme suffisamment garantie, compte tenu notamment de sa situation personnelle (divorcée, retraitée) et des arguments qu'elle avait précédemment avancés à l'appui de ses demandes d'autorisation de séjour en Suisse (soit l'absence de liens avec son pays d'origine et son pays de résidence).</w:t>
      </w:r>
    </w:p>
    <w:p>
      <w:r>
        <w:rPr>
          <w:b/>
        </w:rPr>
        <w:t>E. 6.2</w:t>
      </w:r>
    </w:p>
    <w:p>
      <w:r>
        <w:t>Les recourants ont contesté cette motivation, en alléguant que le fait que la prénommée avait précédemment demandé à s'établir en Suisse ne constituait pas un argument suffisant pour lui refuser l'octroi d'un visa Schengen pour une visite familiale, dès lors qu'elle avait toujours respecté les décisions prises à son endroit et avait à chaque fois quitté la Suisse.</w:t>
      </w:r>
    </w:p>
    <w:p>
      <w:r>
        <w:rPr>
          <w:b/>
        </w:rPr>
        <w:t>E. 6.3</w:t>
      </w:r>
    </w:p>
    <w:p>
      <w:r>
        <w:t>Le Tribunal constate en préambule que l'on ne saurait certes, à première vue, faire grief au SEM d'avoir considéré, au vu des deux demandes d'autorisation de séjour déposées en Suisse par C._______, qu'il y avait un certain risque de voir l'intéressée ne pas respecter les conditions du visa Schengen (impliquant une sortie de Suisse à l'issue de sa durée de validité de 90 jours) dont elle a sollicité l'octroi. Il s'impose toutefois de constater que, même si elle a demandé à deux reprises à pouvoir s'installer en Suisse auprès de sa famille, la requérante n'a contrevenu à aucune disposition légale régissant l'entrée et le séjour des étrangers en Suisse. Ayant obtenu ces dernières années plusieurs visas Schengen pour des visites à sa famille en Suisse, l'intéressée a, soit quitté la Suisse à l'échéance de ces visas, soit respecté les décisions de refus d'autorisation de séjour et de renvoi rendues par le SPOP en retournant à chaque fois dans son pays. Le Tribunal considère dès lors qu'il n'y a pas de motifs de considérer que la requérante, âgée de 67 ans, soit susceptible, durant son séjour de visite en Suisse, de détourner le but allégué de sa venue dans ce pays pour y passer dans la clandestinité ou pour s'installer dans un autre pays de l'Espace Schengen pour y poursuivre illégalement son existence. Dans ces circonstances, le seul fait que l'intéressée ait précédemment demandé à pouvoir à s'établir en Suisse ne saurait constituer, en lui-même, un élément suffisant pour considérer, de manière irrévocable, que sa sortie de Suisse à l'issue du nouveau visa Schengen sollicité, n'est pas assurée au sens de l'art. 5 al. 2 LEtr. Sur un autre plan, il convient de prendre également en considération les motifs d'ordre familial avancés dans le recours pour constater qu'un refus de visa aurait pour conséquence de compliquer considérablement les relations de C._______ avec les membres de sa famille en Suisse, compte tenu des difficultés liées au déplacement d'une famille de quatre personnes au Japon pour une visite familiale. En conséquence, le Tribunal est amené à conclure que les craintes émises par le SEM de voir la requérante ouvrir une nouvelle procédure d'autorisation de séjour en Suisse doivent être relativisées et qu'elles ne sont pas suffisantes à fonder le refus d'un visa Schengen en sa faveur.</w:t>
      </w:r>
    </w:p>
    <w:p>
      <w:r>
        <w:rPr>
          <w:b/>
        </w:rPr>
        <w:t>E. 6.4</w:t>
      </w:r>
    </w:p>
    <w:p>
      <w:r>
        <w:t>Le Tribunal considère toutefois que, pour tenir compte du risque résiduel de prolongation du séjour en Suisse de C._______ et pour garantir sa sortie ponctuelle de l'Espace Schengen, l'octroi du visa devra être conditionné au versement préalable par les recourants d'une caution d'un montant de 30'000 francs auprès d'un établissement bancaire qui sera désigné par l'autorité cantonale compétente en matière de migration, c'est-à-dire, en l'occurrence, le SPOP (cf. arrêt du TAF F-2881/2018 précité consid. 9.2 et F-190/2017 précité consid. 8.3). Par la prise de telles mesures, le faible risque de voir l'intéressée ne pas respecter les termes de son visa et prolonger son séjour en Suisse reste acceptable. Il convient de relever ici que les recourants ont exposé que C._______ avait saisi qu'elle n'avait, en l'état, aucune possibilité d'obtenir le regroupement familial pour s'établir en Suisse et ont affirmé que la prénommée ne déposerait dès lors pas de nouvelle demande d'autorisation de séjour dans ce sens. C'est le lieu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LEI).</w:t>
      </w:r>
    </w:p>
    <w:p>
      <w:r>
        <w:rPr>
          <w:b/>
        </w:rPr>
        <w:t>E. 7.1</w:t>
      </w:r>
    </w:p>
    <w:p>
      <w:r>
        <w:t>Au vu de ce qui précède, le recours est admis et la décision du 4 décembre 2017 est annulée. La cause est renvoyée à l'autorité inférieure, qui est invitée à octroyer à C._______ un visa Schengen pour une visite familiale de 90 jours, après avoir vérifié que les recourants se soient acquittés d'une caution de 30'000 francs auprès de l'établissement bancaire qui aura été désigné par le SPOP.</w:t>
      </w:r>
    </w:p>
    <w:p>
      <w:r>
        <w:rPr>
          <w:b/>
        </w:rPr>
        <w:t>E. 7.2</w:t>
      </w:r>
    </w:p>
    <w:p>
      <w:r>
        <w:t>Les recourants ayant obtenu gain de cause (l'octroi d'un visa en faveur de C._______ étant en principe admis, à la condition qu'une caution d'un montant de 30'000 francs soit versée sur un compte bancaire en Suisse), ils n'ont pas à supporter de frais de procédure (cf. art. 63 al. 1 1ère phrase a contrario PA), pas plus que l'autorité qui succombe (cf. art. 63 al. 2 PA).</w:t>
      </w:r>
    </w:p>
    <w:p>
      <w:r>
        <w:rPr>
          <w:b/>
        </w:rPr>
        <w:t>E. 7.3</w:t>
      </w:r>
    </w:p>
    <w:p>
      <w:r>
        <w:t>Il convient par ailleurs d'allouer aux intéressés une indemnité équitable à titre de dépens pour les frais « indispensables » et relativement élevés occasionnés par la procédure de recours (cf. art. 64 al. 1 PA, en relation avec l'art. 7 al. 1 et al. 4 du règlement du 21 février 2008 concernant les frais, dépens et indemnités fixés par le Tribunal administratif fédéral [FITAF, RS 173.320.2]). En l'absence de note de frais, l'indemnité due est fixée sur la base du dossier (cf. art. 14 al. 2 FITAF). Au regard de l'ensemble des circonstances, l'indemnité à titre de dépens pour les frais « indispensables » à la défense des intérêts des recourants est fixée ex aequo et bono, à 1'000 francs (cf. art. 8 à 11 FITAF).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