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F-7578/2024 vom 6. November 2024</w:t>
      </w:r>
    </w:p>
    <w:p>
      <w:r>
        <w:t>Bundesverwaltungsgericht, 2024-11-06, DE</w:t>
      </w:r>
    </w:p>
    <w:p>
      <w:r>
        <w:rPr>
          <w:b/>
        </w:rPr>
        <w:t xml:space="preserve">Quelle: </w:t>
      </w:r>
      <w:r>
        <w:t>https://mcp.opencaselaw.ch/entscheid/bvger_F-7578_2024_d20241106</w:t>
      </w:r>
    </w:p>
    <w:p>
      <w:r>
        <w:t>FR: TAF F-7578/2024 du 6 novembre 2024</w:t>
      </w:r>
    </w:p>
    <w:p>
      <w:r>
        <w:t>IT: TAF F-7578/2024 del 6 novembre 2024</w:t>
      </w:r>
    </w:p>
    <w:p>
      <w:pPr>
        <w:pStyle w:val="Heading2"/>
      </w:pPr>
      <w:r>
        <w:t>Regeste</w:t>
      </w:r>
    </w:p>
    <w:p>
      <w:r>
        <w:t>Schengen-Visum | Schengen-Visum; Verfügung des SEM vom 6. November 2024</w:t>
      </w:r>
    </w:p>
    <w:p>
      <w:pPr>
        <w:pStyle w:val="Heading2"/>
      </w:pPr>
      <w:r>
        <w:t>Erwägungen</w:t>
      </w:r>
    </w:p>
    <w:p>
      <w:r>
        <w:rPr>
          <w:b/>
        </w:rPr>
        <w:t>E. 1.1</w:t>
      </w:r>
    </w:p>
    <w:p>
      <w:r>
        <w:t>Von der Vorinstanz erlassene Verfügungen bezüglich Schengen-Visa sind mit Beschwerde beim Bundesverwaltungsgericht anfechtbar (vgl. Art. 112 Abs. 1 AIG [SR 142.20] i.V.m. Art. 31 ff. VGG). Das Rechtsmittel- verfahren richtet sich nach dem VwVG, soweit das VGG nichts anderes bestimmt (vgl. Art. 37 VGG).</w:t>
      </w:r>
    </w:p>
    <w:p>
      <w:r>
        <w:t>F-7578/2024 Seite 3</w:t>
      </w:r>
    </w:p>
    <w:p>
      <w:r>
        <w:rPr>
          <w:b/>
        </w:rPr>
        <w:t>E. 1.2</w:t>
      </w:r>
    </w:p>
    <w:p>
      <w:r>
        <w:t>Der Beschwerdeführer hat als Gastgeber am vorangegangenen Ein- spracheverfahren teilgenommen. Seine Aktivlegitimation ist unter den vor- liegenden Umständen zu bejahen (zur Praxisänderung betreffend die Par- teistellung von Bezugspersonen in schengenrechtlichen Visumsverfahren siehe das Urteil des BVGer F-2397/2024 vom 11. April 2025 E. 2 und ins- besondere E. 2.9 m.H.). Obwohl der ursprünglich angestrebte Besuchs- zeitraum inzwischen abgelaufen ist, kann zudem angesichts der Be- schwerde auf ein fortbestehendes Rechtsschutzinteresse geschlossen werden (Art. 48 Abs. 1 VwVG). Auf die im Übrigen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sofern wie vorliegend nicht eine kantonale Be- hörde als Beschwerdeinstanz verfügt hat, die Unangemessenheit gerügt werden (vgl. Art. 49 VwVG). Das Bundesverwaltungsgericht wendet im Be- schwerdeverfahren das Bundesrecht von Amtes wegen an und ist nicht an die Begründung der Begehren gebunden (vgl. Art. 62 Abs. 4 VwVG). Mas- sgeblich ist grundsätzlich die Sachlage im Entscheidzeitpunkt (vgl. BVGE 2020 VII/4 E. 2.2 m.H.).</w:t>
      </w:r>
    </w:p>
    <w:p>
      <w:r>
        <w:rPr>
          <w:b/>
        </w:rPr>
        <w:t>E. 3.1</w:t>
      </w:r>
    </w:p>
    <w:p>
      <w:r>
        <w:t>Dem angefochtenen Entscheid liegt ein Gesuch eines pakistanischen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(aufge- führt im Anhang I Ziff. 1 des AIG), mit denen die Schweiz den Schengen- Besitzstand und die dazugehörigen gemeinschaftsrechtlichen Rechtsakte (nachfolgend: Schengen-Recht) übernahm (vgl. BVGE 2014/1 E. 3; 2011/48 E. 3). Das AIG und dessen Ausführungsbestimmungen, nament- lich die Verordnung vom 15. August 2018 über die Einreise und die Visu- merteilung (VEV, SR 142.204), gelangen nur soweit zur Anwendung, als die Schengen-Assoziierungsabkommen keine abweichenden Bestimmun- gen enthalten (Art. 2 Abs. 4 AIG; Art. 1 Abs. 2 VEV).</w:t>
      </w:r>
    </w:p>
    <w:p>
      <w:r>
        <w:t>F-7578/2024 Seite 4</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3.3</w:t>
      </w:r>
    </w:p>
    <w:p>
      <w:r>
        <w:t>Eine Gefahr für die öffentliche Ordnung im Sinn von Art. 6 Abs. 1 Bst. e SGK ist auch dann anzunehmen, wenn die drittstaatsangehörige Person nicht bereit ist, das Hoheitsgebiet des Schengen-Raums fristgerecht wie- der zu verlassen (vgl.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w:t>
      </w:r>
    </w:p>
    <w:p>
      <w:r>
        <w:t>F-7578/2024 Seite 5 Beurteilung, ob die Voraussetzungen für die Visumserteilung erfüllt sind, ein weiter Beurteilungsspielraum zu (vgl. BVGE 2014/1 E. 4.1.5).</w:t>
      </w:r>
    </w:p>
    <w:p>
      <w:r>
        <w:rPr>
          <w:b/>
        </w:rPr>
        <w:t>E. 3.4</w:t>
      </w:r>
    </w:p>
    <w:p>
      <w:r>
        <w:t>Aufgrund seiner pakistanischen Staatsangehörigkeit unterliegt der Ge- suchsteller der Visumspflicht (Art. 8 Abs. 1 VEV i.V.m. Anhang I Verord- nung [EU] 2018/1806; Art. 6 Abs. 1 Bst. b SGK).</w:t>
      </w:r>
    </w:p>
    <w:p>
      <w:r>
        <w:rPr>
          <w:b/>
        </w:rPr>
        <w:t>E. 4.1</w:t>
      </w:r>
    </w:p>
    <w:p>
      <w:r>
        <w:t>Die Vorinstanz begründet die Abweisung der Einsprache im Wesentli- chen damit, dass die Wiederausreise des Gesuchstellers nicht gewährleis- tet sei. Insbesondere würden ihm in Pakistan keine besonderen, über das übliche Mass hinausgehende Verpflichtungen obliegen, die für eine fristge- rechte, anstandslose Rückkehr sprechen würden. Es sei erstaunlich, dass er trotz seiner familiären und beruflichen Verpflichtungen als Vater von vier Kindern und Schuldirektor für eine verhältnismässig lange Dauer von drei bis vier Wochen allein in die Schweiz reisen könne und wolle, bloss um seinen Bruder zu besuchen. Die Erfahrungen hätten zudem gezeigt, dass oft auch nahe Familienangehörige, die im Herkunftsland zurückgelassen würden, die Personen nicht daran zu hindern vermögen, den Wunsch zur Emigration zu fassen (vorinstanzliche Akten [SEM-act.] 7). Obwohl der Ge- suchsteller nach einem Studium in Grossbritannien 2012 nach Pakistan zurückgekehrt sei, was auf eine gewisse Verwurzelung in Pakistan hin- deute, könne sich seine Situation nach über zehn Jahren zwischenzeitlich so verändert haben, dass nun eine Emigration nach Europa gewünscht sei, insbesondere aufgrund der schwierigen politischen und wirtschaftlichen Lage, der er und seine Familie in Pakistan ausgesetzt seien (Akten des Bundesverwaltungsgerichts [BVGer-act.] 5).</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(vgl. BVGE 2014/1 E. 6.1 m.H.).</w:t>
      </w:r>
    </w:p>
    <w:p>
      <w:r>
        <w:rPr>
          <w:b/>
        </w:rPr>
        <w:t>E. 4.3</w:t>
      </w:r>
    </w:p>
    <w:p>
      <w:r>
        <w:t>Pakistan leidet unter einer schweren Wirtschafts- und Finanzkrise. Mit einem durchschnittlichen Jahreseinkommen von EUR 1’350.– pro Person, mithin EUR 112.50 pro Monat, gehört es zu den Ländern mit niedrigerem</w:t>
      </w:r>
    </w:p>
    <w:p>
      <w:r>
        <w:t>F-7578/2024 Seite 6 Mitteleinkommen (vgl. &lt; https://www.laenderdaten.info/durchschnittsein- kommen.php &gt; abgerufen am 17.05.2025). Zudem bestehen hohe politi- sche und soziale Spannungen: Landesweit sind Terroranschläge zu be- fürchten. Mögliche Ziele sind Behörden, staatliche Einrichtungen, religiöse Minderheiten und belebte Orte wie Märkte, Einkaufszentren, öffentlicher Verkehr, etc. Auch die jüngste Eskalation zwischen Indien und Pakistan verschärft die ohnehin angespannte Lage zusätzlich und birgt das Risiko weiterer politischer Destabilisierung sowie einer Zuspitzung der Sicher- heitslage in der Region (vgl. &lt; https://www.eda.admin.ch &gt; Reisehinweise und Vertretungen &gt; Länderauswahl &gt; Pakistan &gt; Reisehinweise für Pakis- tan, abgerufen am 17.05.2025). Auf dem aktuellen Index der menschlichen Entwicklung, der durch das Entwicklungsprogramm der Vereinten Nationen im Sinn eines Wohlstandsindikators erstellt wird, belegt Pakistan Platz 164 von 191 gelisteten Staaten (vgl. &lt; https://hdr.undp.org &gt; Data Center Coun- try Insights Pakistan, abgerufen am 17.05.2025).</w:t>
      </w:r>
    </w:p>
    <w:p>
      <w:r>
        <w:rPr>
          <w:b/>
        </w:rPr>
        <w:t>E. 4.4</w:t>
      </w:r>
    </w:p>
    <w:p>
      <w:r>
        <w:t>Angesichts dieser Umstände ist prima vista nicht zu beanstanden, dass die Vorinstanz das Risiko einer nicht fristgerechten Wiederausreise in Be- zug auf Pakistan als grundsätzlich hoch eingestuft hat.</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 Zudem kann ein im Zielland Schweiz bestehendes familiäres oder soziales Beziehungsnetz den Entscheid, dorthin auszuwandern, erleichtern - insbesondere, wenn es gleichzeitig im Aufenthaltsstaat an einem entsprechenden Netz fehlt (Urteile des BVGer F-2857/2024 vom 29. Januar 2025 E. 5.2; F-2974/2023 vom 29. Februar 2024 E. 8.1).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ausländerrechtswid- rigen Verhaltens nach einer bewilligten Einreise als hoch einzustufen (vgl. BVGE 2014/1 E. 6.3.1). Zudem kann ein im Zielland Schweiz bestehendes familiäres oder soziales Beziehungsnetz den Entscheid, dorthin auszuwan- dern, erleichtern – insbesondere, wenn es gleichzeitig im Aufenthaltsstaat an einem entsprechenden Netz fehlt (Urteile des BVGer F-2857/2024 vom 29. Januar 2025 E. 5.2; F-2974/2023 vom 29. Februar 2024 E. 8.1).</w:t>
      </w:r>
    </w:p>
    <w:p>
      <w:r>
        <w:rPr>
          <w:b/>
        </w:rPr>
        <w:t>E. 5.2</w:t>
      </w:r>
    </w:p>
    <w:p>
      <w:r>
        <w:t>Betreffend die persönlichen Umstände ist den Akten zu entnehmen, dass der Gesuchsteller, der 36-jährige Bruder des Beschwerdeführers, ge- mäss eigenen Angaben verheiratet, berufstätig, sowie Vater von vier Kin- dern ist. Er lebt und arbeitet in (…), einer Stadt in der pakistanischen Pro- vinz Khyber Pakhtunkhwa (vgl. Antragsformular, SEM-act. 4/71). Auch seine Eltern und weitere Geschwister wohnen in Pakistan (vgl. Beilagen</w:t>
      </w:r>
    </w:p>
    <w:p>
      <w:r>
        <w:t>F-7578/2024 Seite 7 Antragsformular, SEM-act. 4/30). Beruflich ist der Gesuchsteller als Akade- mischer Direktor der (Nennung Schule/Arbeitsstelle), tätig (vgl. Beilagen Antragsformular, SEM-act. 4/37). Ein Schreiben seines Arbeitgebers vom 1. Juli 2024 bestätigt, dass er im Zeitraum vom 5. August bis 15. September 2024 schulfreie Zeit gehabt hätte und in diesem Zeitraum ein Besuch sei- nes Bruders in der Schweiz möglich gewesen wäre. Zudem wird darin ein monatliches Gehalt von brutto 200'000 (gemäss den eingereichten Lohn- ausweisen netto 186'250) Pakistanischen Rupien attestiert (entspricht ge- mäss Wechselkurs vom 31.03.2025 [gilt auch für die folgenden Beträge] ca. Fr. 630.– respektive Fr. 586.– [vgl. Beilagen Antragsformular, SEM-act. 4/34 ff.]). Sein Bachelor-Studium im Bereich Accounting and Finance absolvierte er gemäss der Kopie des Diploms an der (Nennung Universität in London). Den replikweise eingereichten Kopien seines Passes ist zu entnehmen, dass er diesbezüglich über ein vom (…) 2008 bis (…) 2010 gültiges Visum und eine Aufenthaltsbewilligung (gültig vom […] bis […] 2012) in Grossbri- tannien verfügte. Indes wird die Aufenthaltsberechtigung zu Studienzwe- cken nicht für die gesamte Studienzeit dokumentiert (vgl. Beilagen Replik, BVGer-act. 8/4 ff.). Gemäss eigenen Angaben sei der Gesuchsteller in Pa- kistan so tief verwurzelt, dass er nach seinem Studium in Grossbritannien freiwillig nach Pakistan zurückgekehrt sei. Neben einem Kontoauszug über sein Barvermögen zum Zeitpunkt der Ge- suchseinreichung sowie einem detaillierten Steuerauszug legte der Be- schwerdeführer auf Beschwerde- respektive Replikebene weitere Vermö- gensnachweise vor. Dazu gehören eine erneute Arbeitsbestätigung vom 2. Dezember 2024, eine Bestätigung über Grundeigentum vom 14. No- vember 2024 im Wert von 29'720'520 Pakistanischen Rupien (umgerech- net rund Fr. 93'530.–) sowie eine Saldenbestätigung (Balance Certificate) seiner Bank, welche belegt, dass er per Dezember 2024 über ein Vermö- gen von 4'530’937.80 Pakistanischen Rupien (umgerechnet rund Fr. 14’000.–) verfügte. Die Vorinstanz hat die Richtigkeit dieser Angaben nicht angezweifelt. Schliesslich ist betreffend seine Eltern – die auch die Eltern des Gesuch- stellers sind – ersichtlich, dass diese den Beschwerdeführer ebenfalls be- reits einmal in der Schweiz besucht haben. Als Beleg hatte der Beschwer- deführer diesbezüglich anlässlich der vorinstanzlichen Inlandabklärungen Kopien der Pässe seiner Eltern zu den Akten gereicht, aus denen ersicht- lich wird, dass diese über ein vom (…) bis (…) 2011 gültiges Schengen-</w:t>
      </w:r>
    </w:p>
    <w:p>
      <w:r>
        <w:t>F-7578/2024 Seite 8 Visum verfügten und gemäss den Stempeln des Flughafens Zürich am (…) 2011 ein- und am (…) 2011 wieder ausgereist waren (SEM-act. 6/78 f.).</w:t>
      </w:r>
    </w:p>
    <w:p>
      <w:r>
        <w:rPr>
          <w:b/>
        </w:rPr>
        <w:t>E. 5.3</w:t>
      </w:r>
    </w:p>
    <w:p>
      <w:r>
        <w:t>Für die Beurteilung des Kriteriums der gesicherten Wiederausreise sind die persönlichen, familiären und wirtschaftlichen Verhältnisse der Ge- suchstellenden massgebend. Die Vorinstanz weist zu Recht darauf hin, dass mehr als zehn Jahre seit der Rückkehr des Gesuchstellers von Gross- britannien nach Pakistan vergangen sind und dass die dortige wirtschaftli- che und politische Situation sich seither nicht stabilisiert, sondern ver- schlechtert hat. Dennoch kann nicht verkannt werden, dass der Gesuch- steller trotz der instabilen Verhältnisse in seinem Heimatland eine in mehr- facher Hinsicht privilegierte Stellung innehat. So verfügt er als Akademi- scher Direktor über eine Festanstellung in einer verantwortungsvollen Po- sition. Dabei erzielt er ein monatliches Gehalt, das deutlich über dem pa- kistanischen Durchschnittseinkommen liegt (vgl. E. 4.3). Mit rund Fr. 14'000.– weist er überdies ein gewisses Vermögen auf, zu dem Grund- eigentum im Wert von Fr. 93'530.– kommt. Insgesamt erscheinen die wirt- schaftlichen sowie gesellschaftlichen Verhältnisse des Gesuchstellers ge- festigt. Sein geplanter vierwöchiger Besuchsaufenthalt wäre in eine beruf- lich ohnehin freie Zeit gefallen, wie aus dem Empfehlungsschreiben seines Arbeitgebers hervorgeht (vgl. E. 5.2). Zudem beabsichtigte er, ohne seine Kinder und ohne seine Ehefrau zu reisen – ein Umstand, der ebenfalls für seine Rückkehrbereitschaft spricht. Diese Faktoren machen seine Reise- pläne nachvollziehbar und verringern das Risiko einer Emigration erheb- lich. Darüber hinaus hatte der Beschwerdeführer bereits seine Eltern in die Schweiz eingeladen. Dieser Besuch liegt zwar schon rund 14 Jahre zurück. Dass diese fristgerecht nach Pakistan zurückkehrten, kann vorliegend vor dem Hintergrund der beruflichen und familiären Situation sowie des gewis- sen wirtschaftlichen Wohlstands des Gesuchstellers dennoch als schwa- ches zusätzliches Indiz für die Annahme der Glaubhaftigkeit der beabsich- tigten Wiederausreise der Familienmitglieder des Beschwerdeführers, mit- hin also auch des Gesuchstellers selbst, gewertet werden. Insgesamt ist unter Berücksichtigung der individuellen Situation des Ge- suchstellers und seiner Vorgeschichte nicht davon auszugehen, dass er beabsichtigt, dauerhaft in die Schweiz zu migrieren. Seine konkreten Le- bensumstände sind geeignet, die Bedenken hinsichtlich einer fristgerech- ten Wiederausreise zu zerstreuen. Aufgrund des Gesagten ist – entgegen den Ausführungen in der angefochtenen Verfügung – von einem entscheid- relevant reduzierten Risiko einer nicht fristgerechten Wiederausreise aus- zugehen. Daran ändert auch nichts, dass das Risiko für eine Missachtung</w:t>
      </w:r>
    </w:p>
    <w:p>
      <w:r>
        <w:t>F-7578/2024 Seite 9 ausländerrechtlicher Normen naturgemäss nie gänzlich ausgeschlossen werden kann.</w:t>
      </w:r>
    </w:p>
    <w:p>
      <w:r>
        <w:rPr>
          <w:b/>
        </w:rPr>
        <w:t>E. 6</w:t>
      </w:r>
    </w:p>
    <w:p>
      <w:r>
        <w:t>Zusammenfassend ist festzuhalten, dass dem Gesuchsteller die Erteilung des Visums nicht mit der Begründung verweigert werden kann, die Wieder- ausreise sei nicht gesichert. Die angefochtene Verfügung verletzt damit Bundesrecht (vgl. Art. 49 Bst. a VwVG). Die Beschwerde ist daher gutzu- heissen, die angefochtene Verfügung aufzuheben und die Sache zum neuen Entscheid an die Vorinstanz zurückzuweisen. Dabei bleibt von der Vorinstanz zu prüfen, ob zum jetzigen Zeitpunkt alle übrigen Einreisevo- raussetzungen (vgl. E. 3.2) erfüllt sind.</w:t>
      </w:r>
    </w:p>
    <w:p>
      <w:r>
        <w:rPr>
          <w:b/>
        </w:rPr>
        <w:t>E. 7</w:t>
      </w:r>
    </w:p>
    <w:p>
      <w:r>
        <w:t>Bei diesem Ausgang des Verfahrens sind dem Beschwerdeführer keine Kosten aufzuerlegen (Art. 63 Abs. 1 VwVG). Eine Parteientschädigung ist nicht zuzusprechen, da dem nicht anwaltlich vertretenen Beschwerdefüh- rer keine verhältnismässig hohen Kosten erwachsen sind (Art. 7 Abs. 4 des Reglements vom 21. Februar 2008 über die Kosten und Entschädigungen vor dem Bundesverwaltungsgericht [VGKE, SR 173.320.2]).</w:t>
      </w:r>
    </w:p>
    <w:p>
      <w:r>
        <w:rPr>
          <w:b/>
        </w:rPr>
        <w:t>E. 8</w:t>
      </w:r>
    </w:p>
    <w:p>
      <w:r>
        <w:t>Das Bundesverwaltungsgericht entscheidet in der vorliegenden Angele- genheit endgültig (Art. 83 Bst. c Ziff. 1 BGG; vgl. dazu Urteil des BGer 2C_316/2024 vom 21. Juni 2024 E. 2).</w:t>
      </w:r>
    </w:p>
    <w:p>
      <w:r>
        <w:t>(Dispositiv nächste Seite)</w:t>
      </w:r>
    </w:p>
    <w:p>
      <w:r>
        <w:t>F-7578/2024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