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F-7578/2024 vom 17. Mai 2025</w:t>
      </w:r>
    </w:p>
    <w:p>
      <w:r>
        <w:t>Bundesverwaltungsgericht, 2025-05-17, DE</w:t>
      </w:r>
    </w:p>
    <w:p>
      <w:r>
        <w:rPr>
          <w:b/>
        </w:rPr>
        <w:t xml:space="preserve">Quelle: </w:t>
      </w:r>
      <w:r>
        <w:t>https://mcp.opencaselaw.ch/entscheid/bvger_F-7578_2024</w:t>
      </w:r>
    </w:p>
    <w:p>
      <w:r>
        <w:t>FR: TAF F-7578/2024 du 17 mai 2025</w:t>
      </w:r>
    </w:p>
    <w:p>
      <w:r>
        <w:t>IT: TAF F-7578/2024 del 17 maggio 2025</w:t>
      </w:r>
    </w:p>
    <w:p>
      <w:pPr>
        <w:pStyle w:val="Heading2"/>
      </w:pPr>
      <w:r>
        <w:t>Regeste</w:t>
      </w:r>
    </w:p>
    <w:p>
      <w:r>
        <w:t>Schengen-Visum</w:t>
      </w:r>
    </w:p>
    <w:p>
      <w:pPr>
        <w:pStyle w:val="Heading2"/>
      </w:pPr>
      <w:r>
        <w:t>Erwägungen</w:t>
      </w:r>
    </w:p>
    <w:p>
      <w:r>
        <w:rPr>
          <w:b/>
        </w:rPr>
        <w:t>E. 1.1</w:t>
      </w:r>
    </w:p>
    <w:p>
      <w:r>
        <w:t>Von der Vorinstanz erlassene Verfügungen bezüglich Schengen-Visa sind mit Beschwerde beim Bundesverwaltungsgericht anfechtbar (vgl. Art. 112 Abs. 1 AIG [SR 142.20] i.V.m. Art. 31 ff. VGG). Das Rechtsmittel- verfahren richtet sich nach dem VwVG, soweit das VGG nichts anderes bestimmt (vgl. Art. 37 VGG).</w:t>
      </w:r>
    </w:p>
    <w:p>
      <w:r>
        <w:t>F-7578/2024 Seite 3</w:t>
      </w:r>
    </w:p>
    <w:p>
      <w:r>
        <w:rPr>
          <w:b/>
        </w:rPr>
        <w:t>E. 1.2</w:t>
      </w:r>
    </w:p>
    <w:p>
      <w:r>
        <w:t>Der Beschwerdeführer hat als Gastgeber am vorangegangenen Ein- spracheverfahren teilgenommen. Seine Aktivlegitimation ist unter den vor- liegenden Umständen zu bejahen (zur Praxisänderung betreffend die Par- teistellung von Bezugspersonen in schengenrechtlichen Visumsverfahren siehe das Urteil des BVGer F-2397/2024 vom 11. April 2025 E. 2 und ins- besondere E. 2.9 m.H.). Obwohl der ursprünglich angestrebte Besuchs- zeitraum inzwischen abgelaufen ist, kann zudem angesichts der Be- schwerde auf ein fortbestehendes Rechtsschutzinteresse geschlossen werden (Art. 48 Abs. 1 VwVG). Auf die im Übrigen frist- und formgerecht eingereichte Beschwerde ist einzutreten (vgl.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sofern wie vorliegend nicht eine kantonale Be- hörde als Beschwerdeinstanz verfügt hat, die Unangemessenheit gerügt werden (vgl. Art. 49 VwVG). Das Bundesverwaltungsgericht wendet im Be- schwerdeverfahren das Bundesrecht von Amtes wegen an und ist nicht an die Begründung der Begehren gebunden (vgl. Art. 62 Abs. 4 VwVG). Mas- sgeblich ist grundsätzlich die Sachlage im Entscheidzeitpunkt (vgl. BVGE 2020 VII/4 E. 2.2 m.H.).</w:t>
      </w:r>
    </w:p>
    <w:p>
      <w:r>
        <w:rPr>
          <w:b/>
        </w:rPr>
        <w:t>E. 3.1</w:t>
      </w:r>
    </w:p>
    <w:p>
      <w:r>
        <w:t>Dem angefochtenen Entscheid liegt ein Gesuch eines pakistanischen Staatsangehörigen um Erteilung eines Visums zu Besuchszwecken in der Schweiz zugrunde. Da sich der Gesuchsteller nicht auf die EU/EFTA-Per- sonenfreizügigkeitsabkommen berufen kann und die beabsichtigte Aufent- haltsdauer 90 Tage nicht überschreitet, fällt die vorliegende Streitsache in den Anwendungsbereich der Schengen-Assoziierungsabkommen (aufge- führt im Anhang I Ziff. 1 des AIG), mit denen die Schweiz den Schengen- Besitzstand und die dazugehörigen gemeinschaftsrechtlichen Rechtsakte (nachfolgend: Schengen-Recht) übernahm (vgl. BVGE 2014/1 E. 3; 2011/48 E. 3). Das AIG und dessen Ausführungsbestimmungen, nament- lich die Verordnung vom 15. August 2018 über die Einreise und die Visu- merteilung (VEV, SR 142.204), gelangen nur soweit zur Anwendung, als die Schengen-Assoziierungsabkommen keine abweichenden Bestimmun- gen enthalten (Art. 2 Abs. 4 AIG; Art. 1 Abs. 2 VEV).</w:t>
      </w:r>
    </w:p>
    <w:p>
      <w:r>
        <w:t>F-7578/2024 Seite 4</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rPr>
          <w:b/>
        </w:rPr>
        <w:t>E. 3.3</w:t>
      </w:r>
    </w:p>
    <w:p>
      <w:r>
        <w:t>Eine Gefahr für die öffentliche Ordnung im Sinn von Art. 6 Abs. 1 Bst. e SGK ist auch dann anzunehmen, wenn die drittstaatsangehörige Person nicht bereit ist, das Hoheitsgebiet des Schengen-Raums fristgerecht wie- der zu verlassen (vgl.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w:t>
      </w:r>
    </w:p>
    <w:p>
      <w:r>
        <w:t>F-7578/2024 Seite 5 Beurteilung, ob die Voraussetzungen für die Visumserteilung erfüllt sind, ein weiter Beurteilungsspielraum zu (vgl. BVGE 2014/1 E. 4.1.5).</w:t>
      </w:r>
    </w:p>
    <w:p>
      <w:r>
        <w:rPr>
          <w:b/>
        </w:rPr>
        <w:t>E. 3.4</w:t>
      </w:r>
    </w:p>
    <w:p>
      <w:r>
        <w:t>Aufgrund seiner pakistanischen Staatsangehörigkeit unterliegt der Ge- suchsteller der Visumspflicht (Art. 8 Abs. 1 VEV i.V.m. Anhang I Verord- nung [EU] 2018/1806; Art. 6 Abs. 1 Bst. b SGK).</w:t>
      </w:r>
    </w:p>
    <w:p>
      <w:r>
        <w:rPr>
          <w:b/>
        </w:rPr>
        <w:t>E. 4.1</w:t>
      </w:r>
    </w:p>
    <w:p>
      <w:r>
        <w:t>Die Vorinstanz begründet die Abweisung der Einsprache im Wesentli- chen damit, dass die Wiederausreise des Gesuchstellers nicht gewährleis- tet sei. Insbesondere würden ihm in Pakistan keine besonderen, über das übliche Mass hinausgehende Verpflichtungen obliegen, die für eine fristge- rechte, anstandslose Rückkehr sprechen würden. Es sei erstaunlich, dass er trotz seiner familiären und beruflichen Verpflichtungen als Vater von vier Kindern und Schuldirektor für eine verhältnismässig lange Dauer von drei bis vier Wochen allein in die Schweiz reisen könne und wolle, bloss um seinen Bruder zu besuchen. Die Erfahrungen hätten zudem gezeigt, dass oft auch nahe Familienangehörige, die im Herkunftsland zurückgelassen würden, die Personen nicht daran zu hindern vermögen, den Wunsch zur Emigration zu fassen (vorinstanzliche Akten [SEM-act.] 7). Obwohl der Ge- suchsteller nach einem Studium in Grossbritannien 2012 nach Pakistan zurückgekehrt sei, was auf eine gewisse Verwurzelung in Pakistan hin- deute, könne sich seine Situation nach über zehn Jahren zwischenzeitlich so verändert haben, dass nun eine Emigration nach Europa gewünscht sei, insbesondere aufgrund der schwierigen politischen und wirtschaftlichen Lage, der er und seine Familie in Pakistan ausgesetzt seien (Akten des Bundesverwaltungsgerichts [BVGer-act.] 5).</w:t>
      </w:r>
    </w:p>
    <w:p>
      <w:r>
        <w:rPr>
          <w:b/>
        </w:rPr>
        <w:t>E. 4.2</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(vgl. BVGE 2014/1 E. 6.1 m.H.).</w:t>
      </w:r>
    </w:p>
    <w:p>
      <w:r>
        <w:rPr>
          <w:b/>
        </w:rPr>
        <w:t>E. 4.3</w:t>
      </w:r>
    </w:p>
    <w:p>
      <w:r>
        <w:t>Pakistan leidet unter einer schweren Wirtschafts- und Finanzkrise. Mit einem durchschnittlichen Jahreseinkommen von EUR 1’350.– pro Person, mithin EUR 112.50 pro Monat, gehört es zu den Ländern mit niedrigerem</w:t>
      </w:r>
    </w:p>
    <w:p>
      <w:r>
        <w:t>F-7578/2024 Seite 6 Mitteleinkommen (vgl. &lt; https://www.laenderdaten.info/durchschnittsein- kommen.php &gt; abgerufen am 17.05.2025). Zudem bestehen hohe politi- sche und soziale Spannungen: Landesweit sind Terroranschläge zu be- fürchten. Mögliche Ziele sind Behörden, staatliche Einrichtungen, religiöse Minderheiten und belebte Orte wie Märkte, Einkaufszentren, öffentlicher Verkehr, etc. Auch die jüngste Eskalation zwischen Indien und Pakistan verschärft die ohnehin angespannte Lage zusätzlich und birgt das Risiko weiterer politischer Destabilisierung sowie einer Zuspitzung der Sicher- heitslage in der Region (vgl. &lt; https://www.eda.admin.ch &gt; Reisehinweise und Vertretungen &gt; Länderauswahl &gt; Pakistan &gt; Reisehinweise für Pakis- tan, abgerufen am 17.05.2025). Auf dem aktuellen Index der menschlichen Entwicklung, der durch das Entwicklungsprogramm der Vereinten Nationen im Sinn eines Wohlstandsindikators erstellt wird, belegt Pakistan Platz 164 von 191 gelisteten Staaten (vgl. &lt; https://hdr.undp.org &gt; Data Center Coun- try Insights Pakistan, abgerufen am 17.05.2025).</w:t>
      </w:r>
    </w:p>
    <w:p>
      <w:r>
        <w:rPr>
          <w:b/>
        </w:rPr>
        <w:t>E. 4.4</w:t>
      </w:r>
    </w:p>
    <w:p>
      <w:r>
        <w:t>Angesichts dieser Umstände ist prima vista nicht zu beanstanden, dass die Vorinstanz das Risiko einer nicht fristgerechten Wiederausreise in Be- zug auf Pakistan als grundsätzlich hoch eingestuft hat.</w:t>
      </w:r>
    </w:p>
    <w:p>
      <w:r>
        <w:rPr>
          <w:b/>
        </w:rPr>
        <w:t>E. 5</w:t>
      </w:r>
    </w:p>
    <w:p>
      <w:r>
        <w:t>5.1 Bei der Risikoanalyse sind jedoch nicht nur allgemeine Umstände und Erfahrungen zu berücksichtigen, sondern auch alle Gesichtspunkte des konkreten Einzelfalls. Trägt ein Antragsteller in seinem Heimatland besondere berufliche, gesellschaftliche oder familiäre Verantwortung, kann dieser Umstand die Prognose einer gesicherten Wiederausreise durchaus begünstigen. Demgegenüber ist bei Personen, die in ihrem Heimatland keine besonderen Verpflichtungen haben, das Risiko eines ausländerrechtswidrigen Verhaltens nach einer bewilligten Einreise als hoch einzustufen (vgl. BVGE 2014/1 E. 6.3.1). Zudem kann ein im Zielland Schweiz bestehendes familiäres oder soziales Beziehungsnetz den Entscheid, dorthin auszuwandern, erleichtern - insbesondere, wenn es gleichzeitig im Aufenthaltsstaat an einem entsprechenden Netz fehlt (Urteile des BVGer F-2857/2024 vom 29. Januar 2025 E. 5.2; F-2974/2023 vom 29. Februar 2024 E. 8.1).</w:t>
      </w:r>
    </w:p>
    <w:p>
      <w:r>
        <w:rPr>
          <w:b/>
        </w:rPr>
        <w:t>E. 5.1</w:t>
      </w:r>
    </w:p>
    <w:p>
      <w:r>
        <w:t>Bei der Risikoanalyse sind jedoch nicht nur allgemeine Umstände und Erfahrungen zu berücksichtigen, sondern auch alle Gesichtspunkte des konkreten Einzelfalls. Trägt ein Antragsteller in seinem Heimatland beson- dere berufliche, gesellschaftliche oder familiäre Verantwortung, kann die- ser Umstand die Prognose einer gesicherten Wiederausreise durchaus be- günstigen. Demgegenüber ist bei Personen, die in ihrem Heimatland keine besonderen Verpflichtungen haben, das Risiko eines ausländerrechtswid- rigen Verhaltens nach einer bewilligten Einreise als hoch einzustufen (vgl. BVGE 2014/1 E. 6.3.1). Zudem kann ein im Zielland Schweiz bestehendes familiäres oder soziales Beziehungsnetz den Entscheid, dorthin auszuwan- dern, erleichtern – insbesondere, wenn es gleichzeitig im Aufenthaltsstaat an einem entsprechenden Netz fehlt (Urteile des BVGer F-2857/2024 vom 29. Januar 2025 E. 5.2; F-2974/2023 vom 29. Februar 2024 E. 8.1).</w:t>
      </w:r>
    </w:p>
    <w:p>
      <w:r>
        <w:rPr>
          <w:b/>
        </w:rPr>
        <w:t>E. 5.2</w:t>
      </w:r>
    </w:p>
    <w:p>
      <w:r>
        <w:t>Betreffend die persönlichen Umstände ist den Akten zu entnehmen, dass der Gesuchsteller, der 36-jährige Bruder des Beschwerdeführers, ge- mäss eigenen Angaben verheiratet, berufstätig, sowie Vater von vier Kin- dern ist. Er lebt und arbeitet in (…), einer Stadt in der pakistanischen Pro- vinz Khyber Pakhtunkhwa (vgl. Antragsformular, SEM-act. 4/71). Auch seine Eltern und weitere Geschwister wohnen in Pakistan (vgl. Beilagen</w:t>
      </w:r>
    </w:p>
    <w:p>
      <w:r>
        <w:t>F-7578/2024 Seite 7 Antragsformular, SEM-act. 4/30). Beruflich ist der Gesuchsteller als Akade- mischer Direktor der (Nennung Schule/Arbeitsstelle), tätig (vgl. Beilagen Antragsformular, SEM-act. 4/37). Ein Schreiben seines Arbeitgebers vom 1. Juli 2024 bestätigt, dass er im Zeitraum vom 5. August bis 15. September 2024 schulfreie Zeit gehabt hätte und in diesem Zeitraum ein Besuch sei- nes Bruders in der Schweiz möglich gewesen wäre. Zudem wird darin ein monatliches Gehalt von brutto 200'000 (gemäss den eingereichten Lohn- ausweisen netto 186'250) Pakistanischen Rupien attestiert (entspricht ge- mäss Wechselkurs vom 31.03.2025 [gilt auch für die folgenden Beträge] ca. Fr. 630.– respektive Fr. 586.– [vgl. Beilagen Antragsformular, SEM-act. 4/34 ff.]). Sein Bachelor-Studium im Bereich Accounting and Finance absolvierte er gemäss der Kopie des Diploms an der (Nennung Universität in London). Den replikweise eingereichten Kopien seines Passes ist zu entnehmen, dass er diesbezüglich über ein vom (…) 2008 bis (…) 2010 gültiges Visum und eine Aufenthaltsbewilligung (gültig vom […] bis […] 2012) in Grossbri- tannien verfügte. Indes wird die Aufenthaltsberechtigung zu Studienzwe- cken nicht für die gesamte Studienzeit dokumentiert (vgl. Beilagen Replik, BVGer-act. 8/4 ff.). Gemäss eigenen Angaben sei der Gesuchsteller in Pa- kistan so tief verwurzelt, dass er nach seinem Studium in Grossbritannien freiwillig nach Pakistan zurückgekehrt sei. Neben einem Kontoauszug über sein Barvermögen zum Zeitpunkt der Ge- suchseinreichung sowie einem detaillierten Steuerauszug legte der Be- schwerdeführer auf Beschwerde- respektive Replikebene weitere Vermö- gensnachweise vor. Dazu gehören eine erneute Arbeitsbestätigung vom 2. Dezember 2024, eine Bestätigung über Grundeigentum vom 14. No- vember 2024 im Wert von 29'720'520 Pakistanischen Rupien (umgerech- net rund Fr. 93'530.–) sowie eine Saldenbestätigung (Balance Certificate) seiner Bank, welche belegt, dass er per Dezember 2024 über ein Vermö- gen von 4'530’937.80 Pakistanischen Rupien (umgerechnet rund Fr. 14’000.–) verfügte. Die Vorinstanz hat die Richtigkeit dieser Angaben nicht angezweifelt. Schliesslich ist betreffend seine Eltern – die auch die Eltern des Gesuch- stellers sind – ersichtlich, dass diese den Beschwerdeführer ebenfalls be- reits einmal in der Schweiz besucht haben. Als Beleg hatte der Beschwer- deführer diesbezüglich anlässlich der vorinstanzlichen Inlandabklärungen Kopien der Pässe seiner Eltern zu den Akten gereicht, aus denen ersicht- lich wird, dass diese über ein vom (…) bis (…) 2011 gültiges Schengen-</w:t>
      </w:r>
    </w:p>
    <w:p>
      <w:r>
        <w:t>F-7578/2024 Seite 8 Visum verfügten und gemäss den Stempeln des Flughafens Zürich am (…) 2011 ein- und am (…) 2011 wieder ausgereist waren (SEM-act. 6/78 f.).</w:t>
      </w:r>
    </w:p>
    <w:p>
      <w:r>
        <w:rPr>
          <w:b/>
        </w:rPr>
        <w:t>E. 5.3</w:t>
      </w:r>
    </w:p>
    <w:p>
      <w:r>
        <w:t>Für die Beurteilung des Kriteriums der gesicherten Wiederausreise sind die persönlichen, familiären und wirtschaftlichen Verhältnisse der Ge- suchstellenden massgebend. Die Vorinstanz weist zu Recht darauf hin, dass mehr als zehn Jahre seit der Rückkehr des Gesuchstellers von Gross- britannien nach Pakistan vergangen sind und dass die dortige wirtschaftli- che und politische Situation sich seither nicht stabilisiert, sondern ver- schlechtert hat. Dennoch kann nicht verkannt werden, dass der Gesuch- steller trotz der instabilen Verhältnisse in seinem Heimatland eine in mehr- facher Hinsicht privilegierte Stellung innehat. So verfügt er als Akademi- scher Direktor über eine Festanstellung in einer verantwortungsvollen Po- sition. Dabei erzielt er ein monatliches Gehalt, das deutlich über dem pa- kistanischen Durchschnittseinkommen liegt (vgl. E. 4.3). Mit rund Fr. 14'000.– weist er überdies ein gewisses Vermögen auf, zu dem Grund- eigentum im Wert von Fr. 93'530.– kommt. Insgesamt erscheinen die wirt- schaftlichen sowie gesellschaftlichen Verhältnisse des Gesuchstellers ge- festigt. Sein geplanter vierwöchiger Besuchsaufenthalt wäre in eine beruf- lich ohnehin freie Zeit gefallen, wie aus dem Empfehlungsschreiben seines Arbeitgebers hervorgeht (vgl. E. 5.2). Zudem beabsichtigte er, ohne seine Kinder und ohne seine Ehefrau zu reisen – ein Umstand, der ebenfalls für seine Rückkehrbereitschaft spricht. Diese Faktoren machen seine Reise- pläne nachvollziehbar und verringern das Risiko einer Emigration erheb- lich. Darüber hinaus hatte der Beschwerdeführer bereits seine Eltern in die Schweiz eingeladen. Dieser Besuch liegt zwar schon rund 14 Jahre zurück. Dass diese fristgerecht nach Pakistan zurückkehrten, kann vorliegend vor dem Hintergrund der beruflichen und familiären Situation sowie des gewis- sen wirtschaftlichen Wohlstands des Gesuchstellers dennoch als schwa- ches zusätzliches Indiz für die Annahme der Glaubhaftigkeit der beabsich- tigten Wiederausreise der Familienmitglieder des Beschwerdeführers, mit- hin also auch des Gesuchstellers selbst, gewertet werden. Insgesamt ist unter Berücksichtigung der individuellen Situation des Ge- suchstellers und seiner Vorgeschichte nicht davon auszugehen, dass er beabsichtigt, dauerhaft in die Schweiz zu migrieren. Seine konkreten Le- bensumstände sind geeignet, die Bedenken hinsichtlich einer fristgerech- ten Wiederausreise zu zerstreuen. Aufgrund des Gesagten ist – entgegen den Ausführungen in der angefochtenen Verfügung – von einem entscheid- relevant reduzierten Risiko einer nicht fristgerechten Wiederausreise aus- zugehen. Daran ändert auch nichts, dass das Risiko für eine Missachtung</w:t>
      </w:r>
    </w:p>
    <w:p>
      <w:r>
        <w:t>F-7578/2024 Seite 9 ausländerrechtlicher Normen naturgemäss nie gänzlich ausgeschlossen werden kann.</w:t>
      </w:r>
    </w:p>
    <w:p>
      <w:r>
        <w:rPr>
          <w:b/>
        </w:rPr>
        <w:t>E. 6</w:t>
      </w:r>
    </w:p>
    <w:p>
      <w:r>
        <w:t>Zusammenfassend ist festzuhalten, dass dem Gesuchsteller die Erteilung des Visums nicht mit der Begründung verweigert werden kann, die Wieder- ausreise sei nicht gesichert. Die angefochtene Verfügung verletzt damit Bundesrecht (vgl. Art. 49 Bst. a VwVG). Die Beschwerde ist daher gutzu- heissen, die angefochtene Verfügung aufzuheben und die Sache zum neuen Entscheid an die Vorinstanz zurückzuweisen. Dabei bleibt von der Vorinstanz zu prüfen, ob zum jetzigen Zeitpunkt alle übrigen Einreisevo- raussetzungen (vgl. E. 3.2) erfüllt sind.</w:t>
      </w:r>
    </w:p>
    <w:p>
      <w:r>
        <w:rPr>
          <w:b/>
        </w:rPr>
        <w:t>E. 7</w:t>
      </w:r>
    </w:p>
    <w:p>
      <w:r>
        <w:t>Bei diesem Ausgang des Verfahrens sind dem Beschwerdeführer keine Kosten aufzuerlegen (Art. 63 Abs. 1 VwVG). Eine Parteientschädigung ist nicht zuzusprechen, da dem nicht anwaltlich vertretenen Beschwerdefüh- rer keine verhältnismässig hohen Kosten erwachsen sind (Art. 7 Abs. 4 des Reglements vom 21. Februar 2008 über die Kosten und Entschädigungen vor dem Bundesverwaltungsgericht [VGKE, SR 173.320.2]).</w:t>
      </w:r>
    </w:p>
    <w:p>
      <w:r>
        <w:rPr>
          <w:b/>
        </w:rPr>
        <w:t>E. 8</w:t>
      </w:r>
    </w:p>
    <w:p>
      <w:r>
        <w:t>Das Bundesverwaltungsgericht entscheidet in der vorliegenden Angele- genheit endgültig (Art. 83 Bst. c Ziff. 1 BGG; vgl. dazu Urteil des BGer 2C_316/2024 vom 21. Juni 2024 E. 2).</w:t>
      </w:r>
    </w:p>
    <w:p>
      <w:r>
        <w:t>(Dispositiv nächste Seite)</w:t>
      </w:r>
    </w:p>
    <w:p>
      <w:r>
        <w:t>F-7578/2024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