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F-7567/2024 vom 10. Dezember 2024</w:t>
      </w:r>
    </w:p>
    <w:p>
      <w:r>
        <w:t>Bundesverwaltungsgericht, 2024-12-10, DE</w:t>
      </w:r>
    </w:p>
    <w:p>
      <w:r>
        <w:rPr>
          <w:b/>
        </w:rPr>
        <w:t xml:space="preserve">Quelle: </w:t>
      </w:r>
      <w:r>
        <w:t>https://mcp.opencaselaw.ch/entscheid/bvger_F-7567_2024</w:t>
      </w:r>
    </w:p>
    <w:p>
      <w:r>
        <w:t>FR: TAF F-7567/2024 du 10 décembre 2024</w:t>
      </w:r>
    </w:p>
    <w:p>
      <w:r>
        <w:t>IT: TAF F-7567/2024 del 10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Die Vorinstanz hat korrekt erwogen, dass gestützt auf Art. 20 Abs. 5 Dublin-III-VO grundsätzlich Kroatien für die Behandlung der Asylgesuche der Beschwerdeführenden zuständig ist, dass das kroatische Asylsystem rechtsprechungsgemäss keine systemischen Mängel aufweist (vgl. Urteil des BVGer E-1488/2020 vom 22. März 2023 [als Referenzurteil publiziert] E. 9.5),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Dabei hat sie insbesondere die Vorbringen der Beschwerdeführenden im Hinblick auf das angebliche Fehlverhalten einzelner kroatischer Sicherheitskräfte berücksichtigt und rechtsprechungskonform gewürdigt (vgl. jüngst Urteile des BVGer F-7058/2024 vom 20. November 2024 E. 3.1; F-5644/2024 vom 1. Oktober 2024 E. 5.2).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die Asylgesuche der Beschwerdeführenden nicht eingetreten und hat in Anwendung von Art. 44 AsylG ihre Wegweisung nach Kroatien angeordnet. Zur näheren Begründung ist auf die ausführlichen vorinstanzlichen Erwägungen zu verweisen.</w:t>
      </w:r>
    </w:p>
    <w:p>
      <w:r>
        <w:rPr>
          <w:b/>
        </w:rPr>
        <w:t>E. 2.2</w:t>
      </w:r>
    </w:p>
    <w:p>
      <w:r>
        <w:t>Was die Beschwerdeführenden auf Rechtsmittelebene dagegen vorbringen, vermag nichts an der Richtigkeit der angefochtenen Verfügung zu ändern. Entgegen ihren Ausführungen haben die kroatischen Behörden ihrer Wiederaufnahme nicht gestützt auf Art. 18 Abs. 1 Bst. d Dublin-III-VO, sondern gestützt auf Art. 20 Abs. 5 Dublin-III-VO zugestimmt. Vor diesem Hintergrund erweist sich das Vorbringen, die kroatischen Behörden hätten zu erkennen gegeben, dass sie das Asylverfahren der Beschwerdeführenden ohne Prüfung der Fluchtgründe abgeschlossen hätten, als aktenwidrig. Das kroatische Asylsystem weist rechtsprechungsgemäss keine systemischen Schwachstellen auf. Bei dieser Sachlage erübrigen sich Weiterungen zur geltend gemachten Gefahr einer allfälligen Kettenabschiebung (siehe einlässlich dazu Urteil des EuGH vom 30. November 2023, verbundene Rechtssachen C-228/21, C-254/21, C-297/21, C-315/21 und C-328/21, §§ 129-142 und Ziff. 2 des Dispositivs). Im Weiteren ist in Bezug auf die Vorbringen betreffend angebliche Misshandlungen in Kroatien anzumerken, dass Kroatien Signatarstaat der EMRK und des Übereinkommens vom 10. Dezember 1984 gegen Folter und andere grausame, unmenschliche oder erniedrigende Behandlung oder Strafe (FoK, SR 0.105) ist und die entsprechenden völkerrechtlichen Verpflichtungen zu beachten hat. Mithin besteht kein Anlass für die Einholung individueller Zusicherungen bezüglich des Zugangs zu Unterbringung und medizinischer Versorgung, weshalb der entsprechende Subeventualantrag abzuweisen ist.</w:t>
      </w:r>
    </w:p>
    <w:p>
      <w:r>
        <w:rPr>
          <w:b/>
        </w:rPr>
        <w:t>E. 2.3</w:t>
      </w:r>
    </w:p>
    <w:p>
      <w:r>
        <w:t>Soweit die Beschwerdeführenden geltend machen, die Vorinstanz habe die Begründungs- und Untersuchungspflicht verletzt, ist darauf hinzuweisen, dass die Vorinstanz unter Bezugnahme auf die vorhandenen Akten und die Schilderungen der Beschwerdeführenden deren individuelle Situation und unter zusätzlicher Bezugnahme auf die Rechtsprechung des Bundesverwaltungsgerichts auch die vorgebrachte Bedrohungslage in Kroatien rechtsgenüglich abgeklärt hat. Es ist nicht ersichtlich, inwiefern der rechtserhebliche Sachverhalt unrichtig oder unvollständig erhoben worden sein soll. Bei dieser Sachlage und aufgrund der bestehenden Mitwirkungspflicht der Beschwerdeführenden (Art. 8 Abs. 1 AsylG) drängen sich weitere Abklärungen durch die Vorinstanz nicht auf (vgl. BGE 144 V 361 E. 6.5; 141 I 60 E. 3.3 zur antizipierten Beweiswürdigung). Überdies hat die Vorinstanz ihren Entscheid hinreichend und nachvollziehbar begründet. Eine Verletzung der Untersuchungs- oder Begründungspflicht (Art. 35 Abs. 1 VwVG) ist zu verneinen. Der Eventualantrag auf Rückweisung der Sache an die Vorinstanz ist abzuweisen.</w:t>
      </w:r>
    </w:p>
    <w:p>
      <w:r>
        <w:rPr>
          <w:b/>
        </w:rPr>
        <w:t>E. 3</w:t>
      </w:r>
    </w:p>
    <w:p>
      <w:r>
        <w:t>Nach dem Gesagten ist die angefochtene Verfügung nicht zu beanstanden (Art. 106 AsylG). Die Beschwerde ist abzuweisen. Mit dem vorliegenden Urteil fällt der angeordnete Vollzugsstopp dahin. Das Gesuch um Erteilung der aufschiebenden Wirkung ist mit heutigem Entscheid gegenstandslos geworden.</w:t>
      </w:r>
    </w:p>
    <w:p>
      <w:r>
        <w:rPr>
          <w:b/>
        </w:rPr>
        <w:t>E. 4</w:t>
      </w:r>
    </w:p>
    <w:p>
      <w:r>
        <w:t>Die Begehren waren - wie gezeigt - von vornherein aussichtslos, weshalb das Gesuch um Gewährung der unentgeltlichen Prozessführung (Art. 65 Abs. 1 VwVG) abzuweisen ist. Die Verfahrenskosten sind den unterliegenden Beschwerdeführenden aufzuerlegen (Art. 63 Abs. 1 VwVG) und auf insgesamt Fr. 750.- festzusetzen (Art. 1-3 des Reglements vom 21. Februar 2008 über die Kosten und Entschädigungen vor dem Bundesverwaltungsgericht [VGKE, SR173.320.2]).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