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F-7545/2016 vom 15. März 2017</w:t>
      </w:r>
    </w:p>
    <w:p>
      <w:r>
        <w:t>Bundesverwaltungsgericht, 2017-03-15, DE</w:t>
      </w:r>
    </w:p>
    <w:p>
      <w:r>
        <w:rPr>
          <w:b/>
        </w:rPr>
        <w:t xml:space="preserve">Quelle: </w:t>
      </w:r>
      <w:r>
        <w:t>https://mcp.opencaselaw.ch/entscheid/bvger_F-7545_2016</w:t>
      </w:r>
    </w:p>
    <w:p>
      <w:r>
        <w:t>FR: TAF F-7545/2016 du 15 mars 2017</w:t>
      </w:r>
    </w:p>
    <w:p>
      <w:r>
        <w:t>IT: TAF F-7545/2016 del 15 marzo 2017</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Seiner Replik vom 16. Januar 2017 ist nicht zu entnehmen, dass er die Beschwerde zurückziehen möchte.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thailändischen Staatsangehörigen um Erteilung eines Visums für einen knapp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der oben in E. 4.2 erstzitierten Verordnung).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Sowohl die anhaltende politische Krise in Thailand, insbesondere aufgrund des Militärputsches im Mai 2014, als auch die schwierigen weltwirtschaftlichen Rahmenbedingungen wirken sich nach wie vor negativ auf die Wirtschaftsentwicklung des traditionell exportorientierten Landes aus. Das Wachstum blieb auch im Jahre 2015 mit 2,8% - wie bereits im vorangehenden Jahr - hinter den Erwartungen zurück. Die von der Übergangsregierung initiierten Massnahmen führen nur langsam zur wirtschaftlichen Erholung. Für das Jahr 2016 wird mit einem BIP-Wachstum von rund 3 Prozent gerechnet. Im Zuge der allgemeinen wirtschaftlichen Entwicklung hat sich zwar der Anteil der Bevölkerung, der unter der Armutsgrenze lebt, auf 11% (2014) reduziert. Armut ist aber vor allem in ländlich geprägten Gebieten im Norden, Nordosten und Süden Thailands nach wie vor verbreitet. In diesen Regionen leben 80% der 7,3 Mio. (2013) von Armut betroffenen Menschen. Die allgemeine Sicherheitslage in Thailand hat sich trotz des Militärputsches und eines Anschlags im Jahr 2015 stabilisiert (Quellen: Deutsches Auswärtiges Amt, www.auswaertiges-amt.de Aussen- und Europapolitik Länderinformationen Thailand Innenpolitik, Wirtschaft und Reise- und Sicherheitshinweise, Stand November 2016; Weltbank, www.worldbank.org Countries Thailand Overview [Context], Stand September 2016; Websites besucht im Februar 2017).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In Anbetracht dieser Umstände ist nicht zu beanstanden, wenn die Vorinstanz das Risiko einer nicht fristgerechten Wiederausreise mit Bezug auf gesuchstellende Personen aus Thailand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der gesuchstellenden Person bestehen, den Schengen-Raum vor Ablauf des Visums wieder zu verlassen (vgl. BVGE 2014/1 E. 4.4 und E. 6.3.1 je m.H.).</w:t>
      </w:r>
    </w:p>
    <w:p>
      <w:r>
        <w:rPr>
          <w:b/>
        </w:rPr>
        <w:t>E. 6.1</w:t>
      </w:r>
    </w:p>
    <w:p>
      <w:r>
        <w:t>Bei der Gesuchstellerin handelt es sich um eine 47-jährige, geschiedene Frau und Mutter von zwei erwachsenen Kindern (19 und 21 Jahre alt), welche in ihrem eigenen Haus wohne (SEM-pag 20, 32, 43, 41, 47). In diesen Verhältnissen ist sicherlich eine gewisse soziale Einbindung in ein familiäres Gefüge zu erblicken. Da die Kinder jedoch volljährig sind, besteht kein Abhängigkeitsverhältnis mehr zur Gesuchstellerin. Gestützt auf die Akten sind auch keine gesellschaftlichen Verpflichtungen, die Gewähr für eine anstandslose Wiederausreise bieten, ersichtlich.</w:t>
      </w:r>
    </w:p>
    <w:p>
      <w:r>
        <w:rPr>
          <w:b/>
        </w:rPr>
        <w:t>E. 6.2</w:t>
      </w:r>
    </w:p>
    <w:p>
      <w:r>
        <w:t>Die wirtschaftlichen Verhältnisse, in denen sich die Gesuchstellerin befindet, lassen ebenfalls nicht auf eine günstige Prognose bezüglich einer gesicherten Wiederausreise schliessen. So wurde angegeben, die Gesuchstellerin arbeite seit dem 1. August 2015 bei "X.______ Massage" in der Provinz Buri Ram als Masseurin und verdiene monatlich Bath 15'000 (entspricht rund Fr. 420.-) (vgl. SEM-pag. 63). Die Bevölkerung in Thailand verfügte im Jahr 2016 über ein durchschnittliches Pro-Kopf-Einkommen von umgerechnet 5'662.- US-Dollar (ca. Fr. 5'624.-) pro Jahr (vgl. statista, das Statistik-Portal, https://de.statista.com/statistik/daten/studie/320648/umfrage/bruttoinlandsprodukt-bip-pro-kopf-in-thailand/ , abgerufen im Februar 2017). Das Einkommen der Gesuchstellerin liegt mit rund Fr. 5'040.- jährlich zwar nur knapp unter dem Durchschnitt. Die Angaben zu ihrem Einkommen entsprechen jedoch nicht den eingereichten Bankbelegen. Einem nicht näher datierten Bankauszug der Gesuchstellerin kann entnommen werden, dass über einen Zeitraum von rund sechs Monaten (Februar bis Anfang August) insgesamt Bath 193'540.- auf das Konto überwiesen worden sind und der Saldo des Kontos am Anfang August Bath 64'392.12 betrug. Fraglich ist vorliegend, woher die Einnahmen stammen, so konnte die Gesuchstellerin mit einem Monatsgehalt von Bath 15'000.- in sechs Monaten doch lediglich Bath 90'000.- verdienen. Woher die restlichen rund Bath 103'540.- kommen, wurde nicht dargelegt (SEM-pag. 24 - 31). Es ist insbesondere nicht auszuschliessen, dass die Beträge gerade mit Hinblick auf die Erlangung des Schengen-Visums auf die Gesuchstellerin übertragen wurden (vgl. hierzu und zum Folgenden BVGE 2014/1 E. 6.3.6). Ohnehin kann selbst ein Vermögen im behaupteten Umfang (rund Bath 64'000.- sowie ein Haus), keine hinreichende Gewähr für eine fristgerechte und anstandslose Wiederausreise der Gesuchstellerin leisten. Auch im Falle einer Migration gehen solche Vermögenswerte nicht verloren. Aufgrund dieser Aktenlage kann jedenfalls in casu nicht von einer beruflichen Verankerung oder auch nur von vorteilhaften wirtschaftlichen Verhältnissen ausgegangen werden, die nachhaltig von einer Emigration abzuhalten vermöchten.</w:t>
      </w:r>
    </w:p>
    <w:p>
      <w:r>
        <w:rPr>
          <w:b/>
        </w:rPr>
        <w:t>E. 6.3</w:t>
      </w:r>
    </w:p>
    <w:p>
      <w:r>
        <w:t>An den guten Absichten und der Integrität des Beschwerdeführers ist sicherlich nicht zu zweifeln.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w:t>
      </w:r>
    </w:p>
    <w:p>
      <w:r>
        <w:rPr>
          <w:b/>
        </w:rPr>
        <w:t>E. 6.4</w:t>
      </w:r>
    </w:p>
    <w:p>
      <w:r>
        <w:t>Die Gesuchstellerin gab gegenüber der Schweizer Vertretung an, eine Ex-Arbeitskollegin des Massagesalons hätte ihr den Gastgeber im Juni 2016 vorgestellt. Das erste und einzige Treffen habe über einen Zeitraum von zwei Wochen in Pattaya stattgefunden. Sie hätten "Google Translate" benutzt, um sich zu verständigen (SEM-pag. 73). Einer Kopie des Reisepasses des Beschwerdeführers kann entnommen werden, dass er im November 2016 erneut einen Monat bei der Gesuchstellerin in Thailand verbracht hat (BVGer-act. 1 Beilage). Demzufolge haben sich die Gesuchstellerin und der Beschwerdeführer bis anhin nur in Asien gesehen. Der Wunsch des Gastgebers, seine Freundin besser kennen zu lernen, ist verständlich. Aufgrund der vorgenommenen Beurteilung hat er sie aber - zumindest vorderhand - in deren Heimat zu treffen. Sollte zu gegebener Zeit ein Eheschluss ins Auge gefasst werden, so wäre über die Einreise der Gesuchstellerin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(vgl. auch Urteil des BVGer F-2917/2016 vom 22. September 2016 E. 6.4 m.H.).</w:t>
      </w:r>
    </w:p>
    <w:p>
      <w:r>
        <w:rPr>
          <w:b/>
        </w:rPr>
        <w:t>E. 6.5</w:t>
      </w:r>
    </w:p>
    <w:p>
      <w:r>
        <w:t>Insgesamt ist die Schlussfolgerung der Vorinstanz, wonach die Wiederausreise der Gesuchstellerin angesichts der allgemeinen Lage im Heimatland und ihrer individuellen Situation zu wenig gesichert sei, nicht zu beanstanden.</w:t>
      </w:r>
    </w:p>
    <w:p>
      <w:r>
        <w:rPr>
          <w:b/>
        </w:rPr>
        <w:t>E. 6.6</w:t>
      </w:r>
    </w:p>
    <w:p>
      <w:r>
        <w:t>Mit der fehlenden Gewähr für eine anstandslose Wiederausreise ist eine unabdingbare Voraussetzung zur Erteilung eines Schengen-Visums nicht erfüllt. Gründe für die Ausstellung eines Visums mit räumlich beschränkter Gültigkeit (vgl. dazu E. 4.5) liegen nicht vor.</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