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F-7538/2024 vom 9. Dezember 2024</w:t>
      </w:r>
    </w:p>
    <w:p>
      <w:r>
        <w:t>Bundesverwaltungsgericht, 2024-12-09, IT</w:t>
      </w:r>
    </w:p>
    <w:p>
      <w:r>
        <w:rPr>
          <w:b/>
        </w:rPr>
        <w:t xml:space="preserve">Quelle: </w:t>
      </w:r>
      <w:r>
        <w:t>https://mcp.opencaselaw.ch/entscheid/bvger_F-7538_2024</w:t>
      </w:r>
    </w:p>
    <w:p>
      <w:r>
        <w:t>FR: TAF F-7538/2024 du 9 décembre 2024</w:t>
      </w:r>
    </w:p>
    <w:p>
      <w:r>
        <w:t>IT: TAF F-7538/2024 del 9 dicembre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2.2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d'asilo viene presentata per la prima volta in uno Stato membro (art. 20 par. 1 RD III). Se da questo esame emerge che un altro Stato è competente per l'esame della domanda d'asilo, la SEM rende una decisione di non entrata nel merito dopo che lo Stato richiesto ha accettato di prendere (in carico) o riprendere in carico il richiedente asilo (cfr. DTAF 2017 VI/7 consid. 2.1).</w:t>
      </w:r>
    </w:p>
    <w:p>
      <w:r>
        <w:rPr>
          <w:b/>
        </w:rPr>
        <w:t>E. 2.3</w:t>
      </w:r>
    </w:p>
    <w:p>
      <w:r>
        <w:t>Nel caso di una domanda di ripresa in carico (inglese: take back), come è il caso di specie, di principio non viene effettuato un nuovo esame di determinazione dello Stato membro competente secondo il capo III (cfr. DTAF 2017 VI/5 consid. 6.2 e 8.2.1).</w:t>
      </w:r>
    </w:p>
    <w:p>
      <w:r>
        <w:rPr>
          <w:b/>
        </w:rPr>
        <w:t>E. 2.4</w:t>
      </w:r>
    </w:p>
    <w:p>
      <w:r>
        <w:t>In presenza di un minorenne non accompagnato senza parenti in uno degli Stati membri, è competente lo Stato membro in cui egli ha presentato la domanda di protezione internazionale, purché ciò sia nel suo interesse superiore (art. 8 par. 4 RD III).</w:t>
      </w:r>
    </w:p>
    <w:p>
      <w:r>
        <w:rPr>
          <w:b/>
        </w:rPr>
        <w:t>E. 2.4.1</w:t>
      </w:r>
    </w:p>
    <w:p>
      <w:r>
        <w:t>Per pronunciarsi pregiudizialmente sulla questione dell'età del richiedente l'asilo, la SEM si basa sui documenti d'identità autentici depositati agli atti e sui risultati delle audizioni relative al quadro personale dell'interessato nel suo paese d'origine, alla sua cerchia familiare e al suo curriculum scolastico; se necessario, la SEM ordina una perizia medica volta a determinare l'età, in particolare se sussistono indizi che un richiedente l'asilo, che si dichiara minorenne, abbia già raggiunto la maggiore età (cfr. l'art. 17 cpv. 3bis LAsi e la DTAF 2019 I/6 consid. 5.5 con i numerosi riferimenti).</w:t>
      </w:r>
    </w:p>
    <w:p>
      <w:r>
        <w:rPr>
          <w:b/>
        </w:rPr>
        <w:t>E. 2.4.2</w:t>
      </w:r>
    </w:p>
    <w:p>
      <w:r>
        <w:t>La determinazione medica dell'età avviene, in generale, tramite un esame clinico (EX), una radiografia (RX) della mano, una tomografia assiale computerizzata (TAC) dello sterno clavicolare e un'ortopantomografia (OPT) delle arcate dentarie. Quanto più gli accertamenti medici costituiscono un indizio a favore della maggiore età, tanto meno sarà necessario procedere ad un apprezzamento globale delle prove (cfr., per più dettagli, la DTAF 2019 I/6 consid. 5.5, 5.6 e 5.7 con gli innumerevoli riferimenti giurisprudenziali).</w:t>
      </w:r>
    </w:p>
    <w:p>
      <w:r>
        <w:rPr>
          <w:b/>
        </w:rPr>
        <w:t>E. 2.4.3</w:t>
      </w:r>
    </w:p>
    <w:p>
      <w:r>
        <w:t>Come già menzionata sopra (cf. lett. D supra); l'11 novembre 2024, l'Istituto di medicina legale di Bellinzona ha comunicato alla SEM i risultati degli esami intrapresi presso l'Ospedale (...) (radiografico dei denti, della mano destra e delle articolazioni sternoclavicolari), dai quali risulta che l'età media del ricorrente è situata tra i 20 e i 24 anni, che la sua età minima è di 19 anni, che non è dunque possibile che egli abbia meno di 18 anni, e che la data di nascita del (...) novembre 2007, dichiarata dal ricorrente, la quale presuppone che egli avesse "al momento della visita 16 anni 10 mesi e 29 giorni, può essere esclusa" (cfr. incarto SEM, doc. 24/14 p. 8),</w:t>
      </w:r>
    </w:p>
    <w:p>
      <w:r>
        <w:rPr>
          <w:b/>
        </w:rPr>
        <w:t>E. 2.4.4</w:t>
      </w:r>
    </w:p>
    <w:p>
      <w:r>
        <w:t>Ora, visto queste chiare risultanze peritali, secondo cui, in primis, l'età minima del ricorrente è di 19 anni, non è possibile equivocare sul fatto che egli, diversamente da quanto pretende nel suo ricorso, non è minorenne, ossia di età inferiore ai 18 anni (art. 2 lett. i RD III), ma maggiorenne. Questa conclusione peritale è rafforzata dalle numerose e dettagliate argomentazioni della SEM sugli altri elementi indiziari rilevanti per la stima dell'età, palesatisi segnatamente durante la PA-RMNA, alle quali questo Tribunale non può che rimandare (cfr. decisione impugnata, pagg. 3 a 5). Alla luce dei resultati presentati, l'argomentazione del ricorrente secondo cui la perizia non è sufficientemente affidabile non può quindi essere accettata. Infine, il ricorrente non ha fornito alcun documento originale suscettibile di rendere verosimile di essere minorenne. Quanto alla Taskara, al certificato vaccinale e agli altri documenti, prodotti dall'insorgente soltanto in copia, il loro valore probatorio è ridotto, in quanto non è possibile verificarne l'autenticità e non si può escludere una loro manipolazione o falsificazione (cfr. DTAF 2019 I/6 consid. 6.2 e i riferimenti citati). Stando così le cose, il ricorrente non può richiamarsi ai criteri speciali per determinare lo Stato membro competente ai sensi dell'art. 8 RD III.</w:t>
      </w:r>
    </w:p>
    <w:p>
      <w:r>
        <w:rPr>
          <w:b/>
        </w:rPr>
        <w:t>E. 2.5</w:t>
      </w:r>
    </w:p>
    <w:p>
      <w:r>
        <w:t>Proseguendo nell'analisi, il Tribunale ritiene che la SEM abbia correttamente applicato i criteri di determinazione dello Stato membro competente ai sensi degli art. 7ss RD III, dopo aver effettuato l'audizione RMNA e la perizia. Infatti, a seguito alla richiesta presentata dall'autorità inferiore entro il termine previsto dall'art. 23 par. 2 RD III (cfr. lett. F supra), le autorità bulgare hanno risposto affermativamente e accettato di riprendere in carico il ricorrente, sulla base dell'art. 18 par. 1 lett. b RD III.</w:t>
      </w:r>
    </w:p>
    <w:p>
      <w:r>
        <w:rPr>
          <w:b/>
        </w:rPr>
        <w:t>E. 2.6</w:t>
      </w:r>
    </w:p>
    <w:p>
      <w:r>
        <w:t>Pertanto, la competenza della Bulgaria è di principio data.</w:t>
      </w:r>
    </w:p>
    <w:p>
      <w:r>
        <w:rPr>
          <w:b/>
        </w:rPr>
        <w:t>E. 3.1</w:t>
      </w:r>
    </w:p>
    <w:p>
      <w:r>
        <w:t>Occorre così appurare, qui appresso, se possono esserci fondati motivi di credere che esistano, in Bulgaria,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3.2</w:t>
      </w:r>
    </w:p>
    <w:p>
      <w:r>
        <w:t>A questo proposito va ricordato che la Bulgaria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 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3.3</w:t>
      </w:r>
    </w:p>
    <w:p>
      <w:r>
        <w:t>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3.4</w:t>
      </w:r>
    </w:p>
    <w:p>
      <w:r>
        <w:t>Il Tribunale ha già statuito che le carenze riscontrate nel sistema d'asilo bulgaro, benché preoccupanti, non costituiscono delle carenze sistemiche ai sensi dell'art. 3 par. 2 RD III (cfr. sentenza di riferimento del Tribunale F-7195/2018 dell'11 febbraio 2020 consid. 6, in particolare consid. 6.6.7). Da allora, tale giurisprudenza è stata confermata a più riprese, anche tenendo conto della situazione di pressione continua sul sistema d'asilo bulgaro dovuta all'entrata di richiedenti l'asilo ucraini in seguito al conflitto nel loro paese (cfr. tra le altre sentenze F-5573/2024 del 19 settembre 2024 consid. 4; D-3757/2024 del 17 giugno 2024 p. 7; D-424/2024 del 6 febbraio 2024 consid. 7.3).</w:t>
      </w:r>
    </w:p>
    <w:p>
      <w:r>
        <w:rPr>
          <w:b/>
        </w:rPr>
        <w:t>E. 3.5</w:t>
      </w:r>
    </w:p>
    <w:p>
      <w:r>
        <w:t>Nel caso in esame, il ricorrente non ha dimostrato in nessun modo con degli elementi concreti e circostanziati, né è desumibile dagli atti all'inserto, che lo Stato di destinazione - che si ricorda ha accettato esplicitamente la sua ripresa in carico - non sia intenzionato a riprenderlo in carico ed a portare a termine correttamente la procedura relativa alla sua domanda di protezione in rispetto della direttiva procedura, o ancora che egli non avrebbe avuto accesso alla procedura d'asilo in Bulgaria in passato o non l'avrà in futuro, e ciò in rispetto delle normative comunitarie ed internazionali in materia.</w:t>
      </w:r>
    </w:p>
    <w:p>
      <w:r>
        <w:rPr>
          <w:b/>
        </w:rPr>
        <w:t>E. 3.6</w:t>
      </w:r>
    </w:p>
    <w:p>
      <w:r>
        <w:t>Di conseguenza, in assenza di una comprovata violazione sistematica delle norme comunitarie e convenzionali in materia di asilo in Bulgaria, la presunzione di conformità di questo Stato agli obblighi internazionali nei confronti dei richiedenti asilo non è confutata. Su tali presupposti, l'applicazione dell'art. 3 par. 2 cpv. 2 RD III non si giustifica nel caso di specie.</w:t>
      </w:r>
    </w:p>
    <w:p>
      <w:r>
        <w:rPr>
          <w:b/>
        </w:rPr>
        <w:t>E. 3.7</w:t>
      </w:r>
    </w:p>
    <w:p>
      <w:r>
        <w:t>In tali circostanze, non è necessario esaminare ulteriormente le argomentazioni addotte dal ricorrente in merito al suo timore di essere rimpatriato in Afghanistan a seguito del suo trasferimento in Bulgaria. Infatti, dal momento che è stato accertato che la Bulgaria era competente a trattare la domanda di asilo del ricorrente (cfr. consid. 2.6 supra) e che la procedura di asilo in tale paese era priva di carenze sistemiche (cfr. consid. 3.6 supra), non spetta alle autorità svizzere decidere se l'interessato debba essere rimpatriato in Afghanistan o se vi sia stata una violazione del principio di non respingimento (cfr. sentenze della CGUE del 30 novembre 2023, cause riunite C-228/21, C-254/21, C-297/21 e C-281/21, § 129-142 e par. 2 del dispositivo).</w:t>
      </w:r>
    </w:p>
    <w:p>
      <w:r>
        <w:rPr>
          <w:b/>
        </w:rPr>
        <w:t>E. 4.1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4.2</w:t>
      </w:r>
    </w:p>
    <w:p>
      <w:r>
        <w:t>Per contestare il suo trasferimento in Bulgaria, il ricorrente ha dichiarato di temere di essere di nuovo esposto alle violenze psicologiche e maltrattamenti ad opera delle autorità bulgare. Egli ha anche esposto le difficili condizioni d'accoglienza in Bulgaria. In conclusione, il suo ritorno violerebbe l'art. 17 par. 1 RD III in combinato disposto con gli artt. 3 CEDU e 4 CartaUE.</w:t>
      </w:r>
    </w:p>
    <w:p>
      <w:r>
        <w:rPr>
          <w:b/>
        </w:rPr>
        <w:t>E. 4.3</w:t>
      </w:r>
    </w:p>
    <w:p>
      <w:r>
        <w:t>Per quanto riguarda le condizioni d'accoglienza in Bulgaria, sebbene siano in parte da ritenere come difficili e siano nettamente inferiori a quelle che prevalgono in Svizzera, le critiche mosse al riguardo non raggiungono un grado di gravità e di disagio da essere costitutive di un trattamento contrario al art. 3 CEDU. Nel caso di necessità, egli potrà inoltre rivolgersi alle autorità preposte presenti in loco e richiedere il rispetto dei suoi diritti d'accoglienza anche adendo le vie legali (cfr. art. 26 direttiva accoglienza; cfr. la sentenza precitata del TAF D-424/2024 consid. 8.3.2.2 e la sentenza F-3725/2023 dell'8 gennaio 2024 consid. 6.2.4).</w:t>
      </w:r>
    </w:p>
    <w:p>
      <w:r>
        <w:rPr>
          <w:b/>
        </w:rPr>
        <w:t>E. 4.4</w:t>
      </w:r>
    </w:p>
    <w:p>
      <w:r>
        <w:t>Infine, le allegazioni circa i maltrattamenti ch'egli avrebbe subito da parte della polizia bulgara non sono decisive dal profilo del suo trasferimento, in quanto nel caso concreto non esiste alcuna ragione seria e concreta di ritenere che il trasferimento in Bulgaria (cfr. l'accettazione delle autorità bulgare) rischierebbe di esporre il ricorrente ad una situazione simile a quella nella quale si sarebbe trovato nei confronti della polizia in quanto persona straniera entrata clandestinamente su suolo bulgaro.</w:t>
      </w:r>
    </w:p>
    <w:p>
      <w:r>
        <w:rPr>
          <w:b/>
        </w:rPr>
        <w:t>E. 4.5</w:t>
      </w:r>
    </w:p>
    <w:p>
      <w:r>
        <w:t>Visto quanto sopra, la SEM non ha quindi violato gli obblighi internazionali della Svizzera pronunciando il trasferimento dell'interessato verso la Bulgaria,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29a°par. 3, OAsi 1 in combinato disposto con l'articolo 17 par. 1 RD III (cfr. DTAF 2017 VI/5, par. 8.5.2).</w:t>
      </w:r>
    </w:p>
    <w:p>
      <w:r>
        <w:rPr>
          <w:b/>
        </w:rPr>
        <w:t>E. 5</w:t>
      </w:r>
    </w:p>
    <w:p>
      <w:r>
        <w:t>Ne discende che a giusto titolo la SEM non è entrata nel merito della domanda d'asilo del ricorrente, in applicazione dell'art. 31a cpv. 1 lett. b LAsi ed ha pronunciato il suo trasferimento verso la Bulgaria conformemente all'art. 44 LAsi, poiché non esistono eccezioni alla regola generale del rinvio (art. 32 OAsi 1). Il ricorso deve quindi essere respinto.</w:t>
      </w:r>
    </w:p>
    <w:p>
      <w:r>
        <w:rPr>
          <w:b/>
        </w:rPr>
        <w:t>E. 6</w:t>
      </w:r>
    </w:p>
    <w:p>
      <w:r>
        <w:t>Il ricorso, manifestamente infondato, è deciso dalla giudice unica, con l'approvazione di una seconda giudice (art. 111 lett. e LAsi). Inoltre, giusta l'art. 111a cpv. 1 e 2 LAsi, il Tribunale rinuncia allo scambio di scritti e la decisione è motivata soltanto sommariamente. Avendo il Tribunale statuito nel merito del ricorso, la richiesta tendente all'esenzione dal versamento di un anticipo sulle spese processuali e di concessione dell'effetto sospensivo risulta divenuta senza oggetto.</w:t>
      </w:r>
    </w:p>
    <w:p>
      <w:r>
        <w:rPr>
          <w:b/>
        </w:rPr>
        <w:t>E. 7.1</w:t>
      </w:r>
    </w:p>
    <w:p>
      <w:r>
        <w:t>Inoltre, ritenute le allegazioni ricorsuali sprovviste di probabilità di esito favorevole, la domanda di assistenza giudiziaria nel senso della dispensa dal versamento delle spese processuali, è respinta.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