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F-7517/2015 vom 20. Dezember 2016</w:t>
      </w:r>
    </w:p>
    <w:p>
      <w:r>
        <w:t>Bundesverwaltungsgericht, 2016-12-20, DE</w:t>
      </w:r>
    </w:p>
    <w:p>
      <w:r>
        <w:rPr>
          <w:b/>
        </w:rPr>
        <w:t xml:space="preserve">Quelle: </w:t>
      </w:r>
      <w:r>
        <w:t>https://mcp.opencaselaw.ch/entscheid/bvger_F-7517_2015</w:t>
      </w:r>
    </w:p>
    <w:p>
      <w:r>
        <w:t>FR: TAF F-7517/2015 du 20 décembre 2016</w:t>
      </w:r>
    </w:p>
    <w:p>
      <w:r>
        <w:t>IT: TAF F-7517/2015 del 20 dicembre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und Art. 29 ff. VwVG). Die Vorinstanz habe sich in der angefochtenen Verfügung weitgehend damit begnügt, das Einreiseverbot mit Verweis auf den noch nicht rechtskräftigen Strafbefehl gleichen Datums zu begründen. Sie habe jedoch nicht ansatzweise ausgeführt, inwiefern der mutmassliche Sachverhalt einen Verstoss gegen die öffentliche Sicherheit und Ordnung im Sinne von Art. 67 AuG darstellen solle. Weiter habe sie es gänzlich unterlassen, die dreijährige Dauer des Einreiseverbotes zu begründen. Dies, obwohl vorliegend die angefochtene Verfügung mit gleichzeitiger Ausschreibung zur Einreiseverweigerung im SIS II besonders schwerwiegende berufliche Folgen für ihn als für ein serbisches Ferntransportunternehmen tätigen Chauffeur bewirke. Damit liege auch eine Verletzung des Verhältnismässigkeitsgrundsatzes (Art. 96 AuG) vor.</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w:t>
      </w:r>
    </w:p>
    <w:p>
      <w:r>
        <w:rPr>
          <w:b/>
        </w:rPr>
        <w:t>E. 3.3.1</w:t>
      </w:r>
    </w:p>
    <w:p>
      <w:r>
        <w:t>Die Vorinstanz begründete ihre Verfügung folgendermassen: "Die obengenannte Person war in der Schweiz erwerbstätig, ohne im Besitze der erforderlichen ausländerrechtlichen Bewilligung zu sein. C._______ wurde mit Strafbefehl der Staatsanwaltschaft Zürich - Sihl vom 21. Oktober 2015 wegen rechtswidriger Einreise, rechtswidrigen Aufenthaltes und Erwerbstätigkeit ohne Bewilligung mit einer Geldstrafe von 60 Tagessätzen zu je CHF 10.00, Probezeit 2 Jahre, bestraft. Gemäss ständiger Praxis und Rechtsprechung liegt damit ein Verstoss gegen die öffentliche Sicherheit und Ordnung im Sinne von Art. 67 AuG vor. Die im Rahmen des rechtlichen Gehörs gemachten Ausführungen vermögen keinen anderen Entscheid zu rechtfertigen. Aus den gleichen Gründen wird zur Wahrung der öffentlichen Ordnung und Sicherheit einer Beschwerde die aufschiebende Wirkung entzogen (Art. 55 Abs. 2 VwVG)."</w:t>
      </w:r>
    </w:p>
    <w:p>
      <w:r>
        <w:rPr>
          <w:b/>
        </w:rPr>
        <w:t>E. 3.3.2</w:t>
      </w:r>
    </w:p>
    <w:p>
      <w:r>
        <w:t>Die Begründung der angefochtenen Verfügung ist wohl relativ knapp ausgefallen und die privaten Interessen des Beschwerdeführers wurden nicht aufgeführt. Dennoch geht aus dieser klar hervor, dass dem Beschwerdeführer illegale Einreise, illegaler Aufenthalt und Erwerbstätigkeit ohne Bewilligung vorgehalten wurde und darin eine Verletzung der öffentlichen Sicherheit und Ordnung erblickt wurde. Die Frage, was als Verstoss gegen die öffentliche Sicherheit und Ordnung zu betrachten ist, ergibt sich aus Art. 80 Abs. 1 Bst. a der Verordnung vom 24. Oktober 2007 über Zulassung, Aufenthalt und Erwerbstätigkeit (VZAE, SR 142.201) und der Rechtsprechung des Bundesverwaltungsgerichts, weshalb von der Vorinstanz nicht in jedem Einzelfall darauf verwiesen werden muss. Dem Beschwerdeführer war es somit möglich, ein materiell begründetes Rechtsmittel gegen die Verfügung zu erheben (vgl. Urteil des BVGer C-2882/2015 vom 4. Februar 2016 E. 3.3.2). Zudem wurde ihm die Möglichkeit eingeräumt, zur Vernehmlassung der Vorinstanz eine Replik einzureichen, wovon der Beschwerdeführer ausführlich Gebrauch machte. Bezüglich der nunmehr auf Beschwerdeebene geltend gemachten privaten Interessen gilt es festzuhalten, dass der Beschwerdeführer im Rahmen des ihm am 20. Oktober 2015 gewährten rechtlichen Gehörs keine privaten Gründe erwähnte, welche gegen die Verhängung eines Einreiseverbots hätten sprechen können, sondern lediglich ausführte, er nehme die Fernhaltemassnahme zur Kenntnis. Von daher bestand für die Vorinstanz kein Anlass, auf die Dauer und Verhältnismässigkeit des Einreiseverbots näher einzugehen (vgl. Urteil des BVGer C-6460/2014 vom 9. September 2015 E. 3).</w:t>
      </w:r>
    </w:p>
    <w:p>
      <w:r>
        <w:rPr>
          <w:b/>
        </w:rPr>
        <w:t>E. 3.3.3</w:t>
      </w:r>
    </w:p>
    <w:p>
      <w:r>
        <w:t>Zu berücksichtigen ist schliesslich,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w:t>
      </w:r>
    </w:p>
    <w:p>
      <w:r>
        <w:rPr>
          <w:b/>
        </w:rPr>
        <w:t>E. 4.1</w:t>
      </w:r>
    </w:p>
    <w:p>
      <w:r>
        <w:t>Das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VZAE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Urteil des BVGer C-5068/2015 vom 26. April 2016 E. 3.2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5.1</w:t>
      </w:r>
    </w:p>
    <w:p>
      <w:r>
        <w:t>Die Vorinstanz wirft dem Beschwerdeführer in ihrer Verfügung vor, gegen Bestimmungen des Ausländerrechts verstossen zu haben, indem er ohne die erforderliche ausländerrechtliche Bewilligung erwerbstätig gewesen sei. Damit liege gemäss ständiger Praxis und Rechtsprechung ein Verstoss gegen die öffentliche Sicherheit und Ordnung im Sinne von Art. 67 AuG vor. Sie verweist in diesem Zusammenhang auf den Strafbefehl der Staatsanwaltschaft Zürich - Sihl vom 21. Oktober 2015, mit welchem der Beschwerdeführer wegen rechtswidriger Einreise im Sinne von Art. 115 Abs. 1 Bst. a AuG, rechtswidrigen Aufenthaltes gemäss Art. 115 Abs. 1 Bst. b AuG sowie Erwerbstätigkeit ohne Bewilligung gemäss Art. 115 Abs. 1 Bst. c AuG schuldig gesprochen und bestraft wurde (vgl. Bst. B des Sachverhalts). Dieser Strafbefehl wurde am 19. September 2016 während der Rechtshängigkeit des vorliegenden Rechtsmittelverfahrens auf Einsprache des Beschwerdeführers hin von der Staatsanwaltschaft Zürich - Sihl aufgehoben und das Strafverfahren wurde eingestellt (vgl. Bst. L des Sachverhalts).</w:t>
      </w:r>
    </w:p>
    <w:p>
      <w:r>
        <w:rPr>
          <w:b/>
        </w:rPr>
        <w:t>E. 5.2</w:t>
      </w:r>
    </w:p>
    <w:p>
      <w:r>
        <w:t>Serbische Staatsangehörige,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15.03.2001, Abl. L 81/1 vom 21.03.2001). Etwas anderes gilt, wenn in der Schweiz eine Erwerbstätigkeit ausgeübt werden soll. Dann muss ein Visum eingeholt werden (Art. 4 Abs. 3 der Verordnung [EG] Nr. 539/2001 des Rates i.V.m. Art. 4 Abs. 4 Bst. a VEV). Des Weiteren benötigen ausländische Personen, die in der Schweiz einer Erwerbstätigkeit nachgehen wollen, unabhängig von der Aufenthaltsdauer eine Bewilligung (Art. 11 Abs. 1 AuG). In Abweichung von diesem Grundsatz ist bei grenzüberschreitenden Dienstleistungen im Sinne von Art. 3 VZAE und bei vorübergehender Erwerbstätigkeit in der Schweiz im Auftrag eines ausländischen Arbeitgebers keine Bewilligung notwendig, wenn diese Tätigkeit nicht länger als acht Tage innerhalb eines Kalenderjahrs dauert (Art. 14 Abs. 1 VZAE). Unter diese Regelung fallen namentlich ausländische Chauffeurinnen und Chauffeure von Transportunternehmen mit Sitz im Ausland, die in der Schweiz Fahrten ausführen (vgl. auch Ziff. 4.7.14.1.2 der Weisungen AuG des SEM).</w:t>
      </w:r>
    </w:p>
    <w:p>
      <w:r>
        <w:rPr>
          <w:b/>
        </w:rPr>
        <w:t>E. 5.3</w:t>
      </w:r>
    </w:p>
    <w:p>
      <w:r>
        <w:t>Im Rahmen der polizeilichen Einvernahmen gestand der Beschwerdeführer ein, allein im Jahr 2015 ca. 20 Mal als Berufschauffeur Fahrten in die Schweiz unternommen zu haben. Über ein Visum, das ihn berechtigt hätte, zwecks Ausübung der Erwerbstätigkeit in die Schweiz einzureisen, verfügte er ebenso wenig, wie über eine Bewilligung, die er benötigt hätte, um mehr als acht Tage im Kalenderjahr als Berufschauffeur in der Schweiz erwerbstätig zu sein. Die Einreisen des Beschwerdeführers in die Schweiz sowie sein Aufenthalt und seine Erwerbstätigkeit in der Schweiz waren daher rechtswidrig. Der Beschwerdeführer bestreitet dies nicht grundsätzlich. Er macht vielmehr geltend, es habe seinem Arbeitgeber oblegen, allenfalls notwendige Bewilligungen einzuholen bzw. bei den zuständigen Stellen zu beantragen, um ihn, den Beschwerdeführer, in die Lage zu versetzen, seine Tätigkeit als Arbeitnehmer rechtskonform ausüben zu können. Da er keine entsprechenden Auflagen oder Instruktionen von Seiten seines Arbeitgebers erhalten habe, habe er davon ausgehen dürfen, sein Arbeitgeber habe alle nötigen ausländerrechtlichen Bewilligungen besorgt.</w:t>
      </w:r>
    </w:p>
    <w:p>
      <w:r>
        <w:rPr>
          <w:b/>
        </w:rPr>
        <w:t>E. 5.4</w:t>
      </w:r>
    </w:p>
    <w:p>
      <w:r>
        <w:t>Dass es sich bei diesen Einwänden um eine reine Schutzbehauptung handelt, ergibt sich aus den Aussagen des Beschwerdeführers anlässlich seiner Einvernahme durch die Kantonspolizei Zürich vom 20. Oktober 2015, gab er doch dort unmissverständlich zu Protokoll, zwar nicht gewusst zu haben, dass berufsmässige Minibustransporte in der Schweiz für serbische Carchauffeure verboten seien. Hingegen sei ihm bewusst gewesen, dass die Konzession seiner Firma für die Strecke Zürich - Prokuplje (Südserbien) und somit für den grenzüberschreitenden Linienbusverkehr Ende September 2015 abgelaufen sei und die Bewilligung für die Schweiz zwar beantragt worden sei, aber zum Zeitpunkt seiner Einreise in die Schweiz noch nicht vorgelegen habe. Er und seine beiden Kollegen wüssten jedoch erst seit zwei Monaten, dass sie für die Einreise in die Schweiz ein Visum benötigen würden. Sein Chef habe ihnen daraufhin mitgeteilt, er werde ein entsprechendes Gesuch einreichen, die gewünschten Visa könnten jedoch erst nach Erteilung der Konzession ausgestellt werden (vgl. zum Ganzen Bst. A des Sachverhalts). Damit gilt in casu als erstellt, dass der Beschwerdeführer vorsätzlich gegen Normen des Ausländerrechts verstossen hat.</w:t>
      </w:r>
    </w:p>
    <w:p>
      <w:r>
        <w:rPr>
          <w:b/>
        </w:rPr>
        <w:t>E. 5.5</w:t>
      </w:r>
    </w:p>
    <w:p>
      <w:r>
        <w:t>Damit hat der Beschwerdeführer den Fernhaltegrund der Verletzung der öffentlichen Sicherheit und Ordnung im Sinne von Art. 67 Abs. 2 Bst. a erster Halbsatz AuG gesetzt. Dass das Strafverfahren auf Einsprache hin eingestellt wurde, vermag an dieser Feststellung nichts zu ändern. Es ist in Erinnerung zu rufen, dass die Administrativbehörde von der Erkenntnis des Strafrichters grundsätzlich unabhängig ist, auch wenn sie aus Gründen der Rechtseinheit und Rechtssicherheit in tatbeständlicher Hinsicht nicht ohne Not von seinen Feststellungen abweicht. Eine solche Bindungssituation liegt in der vorliegenden Streitsache nicht vor. Denn das Strafverfahren wurde nicht gestützt auf abweichende tatbeständliche Feststellungen, sondern einzig und allein aus prozessökonomischen Gründen eingestellt. Hinzu tritt, dass die Verletzung ausländerrechtlicher Bestimmungen offensichtlich ist und vom Beschwerdeführer in den polizeilichen Einvernahmen auch grundsätzlich eingestanden wurde. Die Administrativbehörde hätte daher selbst dann Fernhaltegründe bejahen können, wenn die Staatanwaltschaft auf Einsprache hin zu abweichenden tatbeständlichen Schlussfolgerungen gekommen wäre.</w:t>
      </w:r>
    </w:p>
    <w:p>
      <w:r>
        <w:rPr>
          <w:b/>
        </w:rPr>
        <w:t>E. 6.1</w:t>
      </w:r>
    </w:p>
    <w:p>
      <w:r>
        <w:t>Es bleibt zu prüfen, ob die Massnahme in richtiger Ausübung des Ermessens ergangen und angemessen ist, was vom Beschwerdeführer in Abrede gestellt wird.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6.2</w:t>
      </w:r>
    </w:p>
    <w:p>
      <w:r>
        <w:t>Der Beschwerdeführer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2C_282/2012 vom 31. Juli 2012 E. 2.5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C-6993/2014 vom 30. März 2015 E. 5.2 m.H.).</w:t>
      </w:r>
    </w:p>
    <w:p>
      <w:r>
        <w:rPr>
          <w:b/>
        </w:rPr>
        <w:t>E. 6.3</w:t>
      </w:r>
    </w:p>
    <w:p>
      <w:r>
        <w:t>Das öffentliche Interesse an der befristeten Fernhaltung des Beschwerdeführers lässt sich mit den von ihm geltend gemachten beruflichen Interessen (Einschränkung in der Ausübung seiner beruflichen Tätigkeit als Chauffeur eines serbischen Ferntransportunternehmens) nicht ernsthaft in Frage stellen (vgl. jedoch Ziff. 6.4 hienach). Zum einen ist die Fernhaltemassnahme nicht als absolutes Einreiseverbot ausgestaltet. Sie stellt vielmehr ein Einreiseverbot mit Bewilligungsvorbehalt dar. Dem Beschwerdeführer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Weitern stünde - wie bereits unter E. 4.3 erwähnt - sämtlichen Schengen-Mitgliedstaaten die Möglichkeit offen, betroffenen Personen auf Gesuch hin die Einreise in das eigene Hoheitsgebiet zu gestatten bzw. ein Visum mit räumlich beschränkter Gültigkeit auszustellen (vgl. auch Urteil des BVGer C-5038/2013 vom 12. Mai 2014 E. 5.3). Die mit dem Einreiseverbot verbundenen Einschränkungen sind also in mehrfacher Hinsicht zu relativieren.</w:t>
      </w:r>
    </w:p>
    <w:p>
      <w:r>
        <w:rPr>
          <w:b/>
        </w:rPr>
        <w:t>E. 6.4</w:t>
      </w:r>
    </w:p>
    <w:p>
      <w:r>
        <w:t>Andererseits hat der Beschwerdeführer ein eminentes Interesse daran, nicht mit einer Einschränkung der verhängten Art belastet zu werden. Als im Schengen-Raum tätiger Berufschauffeur ist er von den Wirkungen der Massnahme mehr als andere betroffen. Entsprechend wird auch von einer besonderen Massnahme-Empfindlichkeit auszugehen sein.</w:t>
      </w:r>
    </w:p>
    <w:p>
      <w:r>
        <w:rPr>
          <w:b/>
        </w:rPr>
        <w:t>E. 6.5</w:t>
      </w:r>
    </w:p>
    <w:p>
      <w:r>
        <w:t>Eine Abwägung der gegenläufigen öffentlichen und privaten Interessen führt das Bundesverwaltungsgericht zum Ergebnis, dass das Einreisever-bot dem Grundsatz nach zu bestätigen ist. Im Rahmen der notwendigen gesamthaften Betrachtung gelangt das Gericht aber zur Auffassung, dass die ausgesprochene Dauer von drei Jahren zu lang ist und dem öffentlichen Interesse an der Fernhaltung des Beschwerdeführers mit einem Einreiseverbot von zwei Jahren Dauer hinreichend Rechnung getragen wird.</w:t>
      </w:r>
    </w:p>
    <w:p>
      <w:r>
        <w:rPr>
          <w:b/>
        </w:rPr>
        <w:t>E. 6.6</w:t>
      </w:r>
    </w:p>
    <w:p>
      <w:r>
        <w:t>Nicht zu beanstanden ist schliesslich, dass dem Beschwerdeführer die Einreise in das Hoheitsgebiet sämtlicher Schengen-Staaten verboten wurde (vgl. Art. 21 i.V.m. Art. 24 SIS-II-Verordnung sowie BVGE 2014/20 E. 8.5 m.H.), geht es doch in casu um zentrale Bestimmungen der migrationsrechtlichen Ordnung, gegen welche der Beschwerdeführer verstossen hat. Mit Blick auf die nunmehr auf zwei Jahre zu reduzierende Fernhaltemassnahme erweist sich die SIS-Ausschreibung als verhältnismässig (Art. 24 Ziff. 2 Bst. b und Ziff. 3 SIS-II-Verordnung).</w:t>
      </w:r>
    </w:p>
    <w:p>
      <w:r>
        <w:rPr>
          <w:b/>
        </w:rPr>
        <w:t>E. 7</w:t>
      </w:r>
    </w:p>
    <w:p>
      <w:r>
        <w:t>Nach dem bisher Gesagten verletzte die Vorinstanz mit dem auf drei Jahre bemessenen Einreiseverbot Bundesrecht (vgl. Art. 49 VwVG). Die Be-schwerde ist teilweise gutzuheissen und das gegen den Beschwerdeführer verhängte Einreiseverbot auf zwei Jahre - bis zum 20. Oktober 2017 - zu befristen.</w:t>
      </w:r>
    </w:p>
    <w:p>
      <w:r>
        <w:rPr>
          <w:b/>
        </w:rPr>
        <w:t>E. 8.1</w:t>
      </w:r>
    </w:p>
    <w:p>
      <w:r>
        <w:t>Entsprechend dem Ausgang des Verfahrens sind die reduzierten Verfahrenskosten von Fr. 600.-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8.2</w:t>
      </w:r>
    </w:p>
    <w:p>
      <w:r>
        <w:t>Im Umfang seines Obsiegens ist dem Beschwerdeführer zudem eine gekürzte Parteientschädigung in gerichtlich festzusetzender Höhe zuzusprechen (Art. 64 Abs. 1 VwVG i.V.m. Art. 7 ff. VGKE). Dabei gilt es zu berücksichtigen, dass ein Mehrwertsteuerzuschlag mangels Steuerpflicht bei Dienstleistungen, die an im Ausland wohnhafte Mandanten erbracht werden, nicht geschuldet wird (vgl. Art. 9 Abs. 1 Bst. c VGKE i.V.m. Art. 1 Abs. 2 Bst. a MWSTG [SR 641.20] i.V.m. Art. 8 Abs. 1 MWSTG).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