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F-7506/2024 vom 17. Dezember 2024</w:t>
      </w:r>
    </w:p>
    <w:p>
      <w:r>
        <w:t>Bundesverwaltungsgericht, 2024-12-17, DE</w:t>
      </w:r>
    </w:p>
    <w:p>
      <w:r>
        <w:rPr>
          <w:b/>
        </w:rPr>
        <w:t xml:space="preserve">Quelle: </w:t>
      </w:r>
      <w:r>
        <w:t>https://mcp.opencaselaw.ch/entscheid/bvger_F-7506_2024</w:t>
      </w:r>
    </w:p>
    <w:p>
      <w:r>
        <w:t>FR: TAF F-7506/2024 du 17 décembre 2024</w:t>
      </w:r>
    </w:p>
    <w:p>
      <w:r>
        <w:t>IT: TAF F-7506/2024 del 17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gestützt auf Art. 20 Abs. 5 Dublin-III-VO grundsätzlich Kroatien für die Behandlung des Asylgesuchs des Beschwerdeführers zuständig ist, dass das kroatische Asylsystem rechtsprechungsgemäss keine systemischen Mängel aufweist (vgl. Urteil des BVGer E-1488/2020 vom 22. März 2023 [als Referenzurteil publiziert] E. 9.5),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Dabei hat sie insbesondere die Vorbringen des Beschwerdeführers im Hinblick auf das angebliche Fehlverhalten einzelner kroatischer Sicherheitskräfte berücksichtigt und rechtsprechungskonform gewürdigt (vgl. jüngst Urteile des BVGer F-7058/2024 vom 20. November 2024 E. 3.1; F-5644/2024 vom 1. Oktober 2024 E. 5.2).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Kroatien angeordnet. Zur näheren Begründung ist auf die ausführlichen vorinstanzlichen Erwägungen zu verweisen.</w:t>
      </w:r>
    </w:p>
    <w:p>
      <w:r>
        <w:rPr>
          <w:b/>
        </w:rPr>
        <w:t>E. 2.2</w:t>
      </w:r>
    </w:p>
    <w:p>
      <w:r>
        <w:t>Die allgemein gehaltenen Ausführungen auf Beschwerdeebene vermögen an der Richtigkeit der angefochtenen Verfügung nichts zu ändern. Die in der Beschwerde zitierten Berichte betreffend die Situation von Asylsuchenden in Kroatien vermögen nichts daran zu ändern, dass das kroatische Asylsystem rechtsprechungsgemäss keine systemischen Schwachstellen aufweist und davon auszugehen ist, dass Gesuchstellende, welche gestützt auf die Dublin-III-VO nach Kroatien überstellt werden, Zugang zum dortigen Asylverfahren erhalten (siehe E. 2.1 hiervor). Durch die Weiterreise nach Slowenien innert weniger Stunden nach Stellung des Asylgesuchs in Kroatien hat sich der Beschwerdeführer einem dortigen Asylverfahren eigenverantwortlich entzogen. Entgegen seiner Auffassung äusserte sich die Vorinstanz hinlänglich dazu, inwiefern eine Überstellung nach Kroatien zu keiner Verletzung völkerrechtlicher Verpflichtungen der Schweiz zu führen droht. Eine Verletzung der Prüfungs- und Begründungspflicht (Art. 32 Abs. 1 und 35 Abs. 1 VwVG) ist zu verneinen.</w:t>
      </w:r>
    </w:p>
    <w:p>
      <w:r>
        <w:rPr>
          <w:b/>
        </w:rPr>
        <w:t>E. 2.3</w:t>
      </w:r>
    </w:p>
    <w:p>
      <w:r>
        <w:t>In Bezug auf den Gesundheitszustand gab der Beschwerdeführer anlässlich des Dublin-Gesprächs an, seit zwei Monaten an Herzflattern und als Folge davon an psychischen Problemen zu leiden. Überdies habe er Magenbeschwerden. Seinem Einwand, es sei ihm eine ärztliche Konsultation verwehrt worden, ist entgegenzuhalten, dass er in Verletzung seiner Mitwirkungspflicht (Art. 8 Abs. 3 AsylG) während des vorinstanzlichen Verfahrens wiederholt und während mehreren Tagen unbekannten Aufenthalts war. Gemäss Akten hat er nach Konsultation des medizinischen Personals im Bundesasylzentrum Medikamente (Schmerzmittel wegen einer alten Schusswunde und Beruhigungsmittel gegen Schlafstörungen) erhalten. Bei dieser Sachlage und aufgrund der bestehenden Mitwirkungspflicht des Beschwerdeführers drängen sich weitere Abklärungen durch die Vorinstanz nicht auf. Auch auf Beschwerdeebene reichte er keine medizinischen Unterlagen ein. Die Rüge der unvollständigen Abklärung des medizinischen Sachverhalts erweist sich somit als unbegründet. Soweit der Beschwerdeführer vorbringt, ein Folteropfer zu sein, ist festzuhalten, dass er die in der Eingabe vom 24. Oktober 2024 in Aussicht gestellten Arztberichte und Bestätigungen über die angeblich in der Türkei oder in Tunesien durch Folter erlittenen Verletzungen bis dato in Verletzung seiner Mitwirkungspflicht (Art. 8 Abs. 1 Bst. d AsylG) nicht eingereicht hat. Darüber hinaus ist Kroatien Signatarstaat der EMRK und des Übereinkommens vom 10. Dezember 1984 gegen Folter und andere grausame, unmenschliche oder erniedrigende Behandlung oder Strafe (FoK, SR 0.105) und hat die entsprechenden völkerrechtlichen Verpflichtungen zu beachten. Der Beschwerdeführer hat nicht dargetan, sich während seines äusserst kurzen Aufenthalts von weniger als 24 Stunden in Kroatien (vergeblich) an die zuständigen Behörden gewandt zu haben. Der Eventualantrag auf Rückweisung der Sache an die Vorinstanz zwecks weiterer Abklärungen und Neubeurteilung ist abzuweisen. Es besteht kein Anlass für die Einholung individueller Zusicherungen bezüglich des Zugangs zu Unterbringung, Nahrung und medizinischer Versorgung, weshalb der entsprechende Subeventualantrag ebenfalls abzuweisen ist.</w:t>
      </w:r>
    </w:p>
    <w:p>
      <w:r>
        <w:rPr>
          <w:b/>
        </w:rPr>
        <w:t>E. 3</w:t>
      </w:r>
    </w:p>
    <w:p>
      <w:r>
        <w:t>Nach dem Gesagten ist die angefochtene Verfügung nicht zu beanstanden (Art. 106 AsylG). Die Beschwerde ist abzuweisen. Mit dem vorliegenden Urteil fällt der angeordnete Vollzugsstopp dahin. Das Gesuch um Erteilung der aufschiebenden Wirkung ist mit heutigem Entscheid gegenstandslos geworden.</w:t>
      </w:r>
    </w:p>
    <w:p>
      <w:r>
        <w:rPr>
          <w:b/>
        </w:rPr>
        <w:t>E. 4</w:t>
      </w:r>
    </w:p>
    <w:p>
      <w:r>
        <w:t>Die Begehren waren - wie gezeigt - von vornherein aussichtslos, weshalb die Gesuche um Gewährung der unentgeltlichen Prozessführung (Art. 65 Abs. 1 VwVG) und amtlichen Verbeiständung (Art. 102m Abs. 1 Bst. a AsylG) abzuweisen sind. Die Verfahrenskosten sind dem unterliegenden Beschwerdeführer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