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F-7490/2024 vom 20. Februar 2025</w:t>
      </w:r>
    </w:p>
    <w:p>
      <w:r>
        <w:t>Bundesverwaltungsgericht, 2025-02-20, FR</w:t>
      </w:r>
    </w:p>
    <w:p>
      <w:r>
        <w:rPr>
          <w:b/>
        </w:rPr>
        <w:t xml:space="preserve">Quelle: </w:t>
      </w:r>
      <w:r>
        <w:t>https://mcp.opencaselaw.ch/entscheid/bvger_F-7490_2024</w:t>
      </w:r>
    </w:p>
    <w:p>
      <w:r>
        <w:t>FR: TAF F-7490/2024 du 20 février 2025</w:t>
      </w:r>
    </w:p>
    <w:p>
      <w:r>
        <w:t>IT: TAF F-7490/2024 del 20 febbraio 2025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d’approbation à l’octroi ou au renou- 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 finitivement (art. 1 al. 2 LTAF en relation avec l’art. 83 let. c ch. 2 LTF ; cf. ATF 149 I 89 consid. 1.1.2 et arrêt du Tribunal fédéral [ci-après : le TF] 2D_8/2022 du 4 janvier 2023 consid. 1.2.2).</w:t>
      </w:r>
    </w:p>
    <w:p>
      <w:r>
        <w:rPr>
          <w:b/>
        </w:rPr>
        <w:t>E. 1.2</w:t>
      </w:r>
    </w:p>
    <w:p>
      <w:r>
        <w:t>A moins que la LTAF n’en dispose autrement, la procédure devant le Tribunal est régie par la PA (art. 37 LTAF).</w:t>
      </w:r>
    </w:p>
    <w:p>
      <w:r>
        <w:rPr>
          <w:b/>
        </w:rPr>
        <w:t>E. 1.3</w:t>
      </w:r>
    </w:p>
    <w:p>
      <w:r>
        <w:t>L’intéressé a qualité pour recourir au sens de l’art. 48 al. 1 PA. Son re- cours respecte les exigences de forme et de délai fixées par la loi (art. 50 al. 1 et 52 al. 1 PA) et est par conséquent recevable.</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w:t>
      </w:r>
    </w:p>
    <w:p>
      <w:r>
        <w:t>F-7490/2024 Page 4 L’autorité de recours applique le droit d’office, sans être liée par les motifs invoqués par les parties (art. 62 al. 4 PA), ni par les considérants juridiques de la décision attaquée (ATAF 2020 VII/4 consid. 2.2). Aussi peut-elle ad- mettre ou rejeter le recours pour d'autres motifs que ceux invoqués. Dans son arrêt, le Tribunal prend en considération l’état de fait existant au mo- ment où il statue (ATAF 2021 IV/3 consid. 4.1.2).</w:t>
      </w:r>
    </w:p>
    <w:p>
      <w:r>
        <w:rPr>
          <w:b/>
        </w:rPr>
        <w:t>E. 3.1</w:t>
      </w:r>
    </w:p>
    <w:p>
      <w:r>
        <w:t>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l'occurrence, le SPOP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 mises à la procédure d’approbation [OA-DFJP, RS 142.201.1]). Il s'ensuit que ni le SEM ni, a fortiori, le Tribunal ne sont liés par la proposition émise par le SPOP et peuvent ainsi s'écarter de l'appréciation faite par cette auto- 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 tera la Suisse (art. 5 al. 2 LEI). Les autorités compétentes tiennent notam- 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w:t>
      </w:r>
    </w:p>
    <w:p>
      <w:r>
        <w:t>F-7490/2024 Page 5 ou d’une formation continue, rentiers et étrangers admis en vue d'un trai- 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 ciliée en Suisse ; les étrangers doivent être titulaires d'une autorisation de séjour ou d'établissement (let. a), la confirmation d'une banque reconnue en Suisse permettant d'attester l'existence de valeurs patrimoniales suffi- santes (let. b) ou une garantie ferme d'octroi de bourses ou de prêts de formation suffisants (let. c). Selon l'art. 23 al. 2 OASA, les qualifications personnelles, au sens de l'art. 27 al. 1 let. d LEI, sont suffisantes notamment lorsqu'aucun séjour an- térieur, aucune procédure de demande antérieure ni aucun autre élément n'indiquent que la formation ou la formation continue invoquée vise unique- ment (« lediglich » selon le texte allemand et « esclusivamente » selon le texte italien) à éluder les prescriptions générales sur l'admission et le sé- jour des étrangers (cf. rapport de la Commission des institutions politiques du Conseil national du 5 novembre 2009 concernant l'initiative parlemen- taire pour faciliter l'admission et l'intégration des étrangers diplômés d'une haute école suisse, publié in : FF 2010 373, ch. 3.1, p. 385).</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 tinue est un séjour temporaire (cf. Directives et commentaires du SEM</w:t>
      </w:r>
    </w:p>
    <w:p>
      <w:r>
        <w:t>F-7490/2024 Page 6 [ch. 5.1.1.1] ainsi que leur annexe [ci-après : Directives SEM], publiées sur le site internet www.sem.admin.ch &gt; Publications &amp; services &gt; Directives et circulaires &gt; I. Domaine des étrangers, octobre 2013, état au 1er janvier 2025 [consultées en janvier 2025]).</w:t>
      </w:r>
    </w:p>
    <w:p>
      <w:r>
        <w:rPr>
          <w:b/>
        </w:rPr>
        <w:t>E. 6.1</w:t>
      </w:r>
    </w:p>
    <w:p>
      <w:r>
        <w:t>Dans sa décision de refus d’approbation du 28 octobre 2024, le SEM a notamment relevé que le recourant avait déjà commencé des études su- périeures dans son pays d’origine dans le domaine de l’informatique, mais que, nonobstant une lettre de motivation dans laquelle il avait déclaré que sa véritable passion résidait dans le domaine du management, il n’avait pas démontré à satisfaction de droit que ce domaine l’attirait réellement. A cet égard, l’intéressé n’avait pas allégué avoir déjà effectué un éventuel stage dans ce domaine, suivi une formation qui s’y rapportait ou encore avoir eu ne serait-ce qu’un contact avec ce milieu. De plus, le SEM a éga- lement relevé que, contrairement à ce qu’avait avancé le recourant, il exis- tait des formations en management dispensées en français et/ou en an- glais dans son pays d’origine.</w:t>
      </w:r>
    </w:p>
    <w:p>
      <w:r>
        <w:rPr>
          <w:b/>
        </w:rPr>
        <w:t>E. 6.2</w:t>
      </w:r>
    </w:p>
    <w:p>
      <w:r>
        <w:t>Dans son recours du 28 novembre 2024, l’intéressé a relevé, en subs- tance, qu’il avait toujours indiqué souhaiter étudier en Suisse s’il venait à y être admis, en raison de la présence de son père ainsi que de la qualité de la formation qui pouvait y être obtenue. A cet égard, il a soutenu que cela ressortait déjà de la première demande tendant au regroupement familial. Il avait exprimé très clairement sa volonté de quitter la Suisse au terme des études envisagées, dans la mesure où il était conscient de l’impossibilité d’obtenir, une fois ses études terminées, un éventuel permis de travail. Il a néanmoins estimé que le SEM était tombé dans l’arbitraire en sous-enten- dant qu’il ne retournerait pas en Algérie à l’issue du cursus envisagé. Selon lui, son père, âgé actuellement de 61 ans, ne resterait pas en Suisse après avoir atteint l’âge de la retraite et l’il n’aurait donc quant à lui aucun intérêt à demeurer dans ce pays. De surcroît, il n’aurait aucun intérêt économique à rester en Suisse, compte tenu du fait qu’il « ne fait pas partie d’une famille particulièrement défavorisée, bien au contraire ». Enfin, sa famille et lui ne représentaient aucun risque à l’égard de la sécurité publique en Suisse.</w:t>
      </w:r>
    </w:p>
    <w:p>
      <w:r>
        <w:rPr>
          <w:b/>
        </w:rPr>
        <w:t>E. 6.3</w:t>
      </w:r>
    </w:p>
    <w:p>
      <w:r>
        <w:t>Il y a lieu d’admettre, en tenant compte des pièces du dossier, que le recourant remplit, de prime abord, les conditions matérielles telles qu’énon- cées à l’art. 27 al. 1 LEI. En effet, il a produit à l’appui de sa demande au- près de l’autorité cantonale une attestation de prise en charge financière signée par son père. Il ressort en outre du dossier que l’intéressé est régu- lièrement inscrit à l’Ecole de management et de communication de Genève</w:t>
      </w:r>
    </w:p>
    <w:p>
      <w:r>
        <w:t>F-7490/2024 Page 7 pour y suivre le cycle de « Bachelor en Management international 2024/2026 ». L’intéressé a notamment produit une lettre de motivation re- lative à sa volonté de suivre la formation envisagée ainsi qu’une copie des décomptes de salaire de son père pour les mois d’octobre, novembre et décembre 2023, attestant ainsi que ce dernier dispose des moyens finan- ciers nécessaires pour accueillir son fils en Suisse. Enfin, le recourant – qui est titulaire d’un Diplôme de Baccalauréat délivré le 17 juillet 2018 et qui apparaît être régulièrement inscrit à l’université d’Annaba en Algérie pour poursuivre ses études, actuellement et selon toute vraisemblance, en 3ème année de licence dans le domaine des systèmes informatiques – paraît disposer du niveau de formation et des qualifications personnelles requises pour suivre sa nouvelle formation en Suisse (cf., néanmoins, s’agissant du risque d’élusion des prescriptions d’admission, supra, consid. 5.3 et infra, consid. 7.3.3).</w:t>
      </w:r>
    </w:p>
    <w:p>
      <w:r>
        <w:rPr>
          <w:b/>
        </w:rPr>
        <w:t>E. 7.1</w:t>
      </w:r>
    </w:p>
    <w:p>
      <w:r>
        <w:t>Il n’en demeure pas moins que l’art. 27 LEI est une disposition rédigée en la forme potestative (« Kann-Vorschrift »). En conséquence, même si l’intéressé remplissait toutes les conditions prévues par la loi, il ne dispo- serait d’aucun droit à la délivrance d’une autorisation de séjour, à moins qu’il ne puisse se prévaloir d’une disposition particulière du droit fédéral ou d’un traité lui conférant un tel droit, ce qui n’est pas le cas en espèce.</w:t>
      </w:r>
    </w:p>
    <w:p>
      <w:r>
        <w:rPr>
          <w:b/>
        </w:rPr>
        <w:t>E. 7.2</w:t>
      </w:r>
    </w:p>
    <w:p>
      <w:r>
        <w:t>Les autorités disposent d'un large pouvoir d'appréciation dans le cadre de la présente cause (art. 96 LEI) et ne sont par conséquent pas limitées au cadre légal défini par les art. 27 LEI et 23 al. 2 OASA. Elles sont toute- fois tenues de procéder, dans chaque cas concret, à une pesée des inté- rêts globale et minutieuse en se souciant, dans l'exercice de leur pouvoir d'appréciation, des intérêts publics, de la situation personnelle de l’étranger ainsi que de son degré d’intégration (cf. arrêt du TAF F-3981/2023 du 9 décembre 2024 consid. 8.2 et les réf. citées). De plus, l’intérêt à une poli- tique de migration restrictive doit être pris en considération. En effet, selon l'art. 3 al. 3 LEI, il appartient aux autorités suisses de tenir compte des questions liées à l'évolution sociodémographique du pays, tout en ne per- dant pas de vue que l'admission d'un étranger est une décision autonome appartenant à tout Etat souverain, sous réserve des obligations découlant du droit international public (cf. arrêt du TAF F-3400/2024 du 27 novembre 2024 consid. 7.2 et les réf. citées).</w:t>
      </w:r>
    </w:p>
    <w:p>
      <w:r>
        <w:rPr>
          <w:b/>
        </w:rPr>
        <w:t>E. 7.3</w:t>
      </w:r>
    </w:p>
    <w:p>
      <w:r>
        <w:t>Il convient dès lors d’examiner, en tenant compte du large pouvoir d’ap- préciation dont disposent les autorités compétentes en la matière, si c’est à juste titre que le SEM a refusé d’approuver la délivrance d’une</w:t>
      </w:r>
    </w:p>
    <w:p>
      <w:r>
        <w:t>F-7490/2024 Page 8 autorisation de séjour pour études en faveur du recourant, telle que propo- sée par le SPOP. Dans ce cadre, procédant à une pondération globale de tous les éléments en présence, le Tribunal retiendra ce qui suit :</w:t>
      </w:r>
    </w:p>
    <w:p>
      <w:r>
        <w:rPr>
          <w:b/>
        </w:rPr>
        <w:t>E. 7.3.1</w:t>
      </w:r>
    </w:p>
    <w:p>
      <w:r>
        <w:t>Plaide en faveur de l’intéressé le fait qu’il souhaite acquérir en Suisse une formation en management, qui correspond au mieux, selon ses dires, à ses intérêts et à ses aspirations professionnelles. Par ailleurs, comme l’a relevé l’intéressé à l’appui de son recours, la problématique de l’encom- brement des établissements, invoquée par l’autorité inférieure dans la dé- cision querellée, apparaît également peu pertinente, en ce sens que le re- courant entend suivre sa formation au sein d’un établissement privé (cf. extrait du registre du commerce de Genève relatif à l’établissement où l’in- téressé entend suivre la formation, disponible sous : https://app2.ge.ch/ecohrcinternet/ [consulté en janvier 2025]) et que la sau- vegarde de place pour les étudiants désireux d’effectuer une première for- mation ne relève dès lors pas des autorités.</w:t>
      </w:r>
    </w:p>
    <w:p>
      <w:r>
        <w:rPr>
          <w:b/>
        </w:rPr>
        <w:t>E. 7.3.2</w:t>
      </w:r>
    </w:p>
    <w:p>
      <w:r>
        <w:t>Sur un plan plus défavorable, le Tribunal retiendra que l’intéressé, régulièrement inscrit en deuxième année de licence, en Algérie, durant l’année universitaire 2023/2024 au moment du dépôt de sa demande de visa à des fins de formation, aurait selon toute vraisemblance dû mettre un terme à ses études pour suivre la nouvelle formation envisagée, qui devait débuter le 21 octobre 2024. Contrairement à ce qu’a affirmé l’intéressé à l’appui de son recours, il ne s’agirait donc pas de compléter sa première formation par des études managériales, mais bien de débuter une nouvelle formation ab ovo. Quand bien même le recourant a affirmé que le mana- gement était sa passion, on peut légitimement se demander si ce subit changement de cursus académique ne serait pas guidé par d’autres aspi- rations. Cette considération vaut d’autant plus que, comme l’a relevé l’auto- rité inférieure, aucun élément figurant au dossier ne tend à démontrer que l’intéressé se passionne vraiment pour ce domaine d’étude. A tout le moins, il serait véritablement dommageable pour le recourant d’interrompre ainsi une formation déjà menée aux deux tiers, d’autant plus qu’il n’a pas expli- qué en quoi cette seconde formation serait complémentaire à celle actuel- lement suivie. Par ailleurs, il sied de relever qu’il est possible d’effectuer une licence aca- démique en management au sein du Département des Sciences de Ges- tion de la même université où le recourant a débuté sa première formation universitaire (cf. site internet de l’Université d’Annaba, disponible sous : https://www.univ-annaba.dz/formation/offres-de-formation/formation- lmd/domaine-sciences-economiques-de-gestion-et-commerciales/</w:t>
      </w:r>
    </w:p>
    <w:p>
      <w:r>
        <w:t>F-7490/2024 Page 9 [consulté en janvier 2025]). Le Tribunal éprouve donc certaines difficultés à comprendre pourquoi l’intéressé, s’il se passionne véritablement pour le management, ne s’est pas contenté de changer de département au sein de son Alma mater, démarche plus simple, ne serait-ce que sur le plan administratif.</w:t>
      </w:r>
    </w:p>
    <w:p>
      <w:r>
        <w:rPr>
          <w:b/>
        </w:rPr>
        <w:t>E. 7.3.3</w:t>
      </w:r>
    </w:p>
    <w:p>
      <w:r>
        <w:t>Enfin, l’on ne saurait reprocher au SEM d’avoir nourri quelques doutes quant à la volonté du recourant de retourner en Algérie à l’issue de son séjour en Suisse. C’est le lieu de rappeler qu’à teneur des art. 5 al. 2 LEI et 23 al. 2 OASA, d’une part, l’intéressé doit avoir l’intention de quitter la Suisse à l’issue de sa formation et, d’autre part, aucune procédure de demande antérieure ne doit indiquer que la formation envisagée vise uniquement à éluder les pres- criptions générales sur l’admission et le séjour des étrangers afin d’y sé- journer durablement. Dans ce cadre, il convient de tenir notamment compte de la situation personnelle du requérant (âge, situation familiale, formation scolaire préalable, environnement social) et de sa région de provenance (situation économique et politique, marché du travail indigène pour les di- plômés des hautes écoles). Il s’agit, sur cette base, d’évaluer la vraisem- blance du retour volontaire dans le pays d’origine – respectivement de pro- venance – au terme de la formation envisagée en Suisse (cf. Directives SEM, ch. 5.1.1.1). Or, en l’espèce, le père de l’intéressé avait d’abord requis le regroupement familial différé en sa faveur en invoquant notamment qu’il était primordial pour le recourant de suivre ses parents en Suisse, dans la mesure où il était étudiant et complétement dépendant d’eux. De plus, il avait également souligné qu’il ne disposait d’aucune ressource financière hormis le soutien de ses parents et qu’il ne disposait d’aucune couverture sociale dans son pays d’origine. Enfin, il avait conclu que ses parents souhaitaient voir leur fils « poursuivre en Suisse ses études en informatique ». Sans qu’il puisse être conclu à l’existence avérée d’un abus de droit s’agis- sant des motivations sous-tendant le dépôt de la demande d’autorisation pour formation, il est légitime d’émettre des réserves quant aux réelles in- tentions du recourant, ce d’autant plus que ses deux parents résident en Suisse. Il n’est donc pas exclu que la formation envisagée par l’intéressé ne soit en réalité qu’un prétexte pour s’installer durablement sur le sol hel- vétique, auprès de sa famille (cf. arrêt du TAF F-3400/2024 du 27 no- vembre 2024, consid. 7.5.3). La volonté alléguée de son père de quitter la Suisse à l’atteinte de l’âge de la retraite n’y change rien.</w:t>
      </w:r>
    </w:p>
    <w:p>
      <w:r>
        <w:t>F-7490/2024 Page 10</w:t>
      </w:r>
    </w:p>
    <w:p>
      <w:r>
        <w:rPr>
          <w:b/>
        </w:rPr>
        <w:t>E. 7.4</w:t>
      </w:r>
    </w:p>
    <w:p>
      <w:r>
        <w:t>Sur le vu de l’ensemble des éléments qui précèdent, en procédant à une pesée globale des intérêts et nonobstant l’utilité que pourrait constituer la formation projetée en Suisse et les aspirations légitimes de l’intéressé à vouloir l’accomplir en vue d’élargir ses perspectives professionnelles, il n’apparaît pas que des raisons spécifiques et suffisantes soient de nature à justifier l’approbation à l’octroi de l’autorisation de séjour sollicitée, compte tenu en particulier de la politique d’admission restrictive que les autorités suisses sont amenées à adopter en la matière (cf. arrêts du TAF F-3981/2023 du 9 décembre 2024 consid. 9.4 ; F-3400/2024 du 27 no- vembre 2024 consid. 7.6 et F-1243/2023 du 17 octobre 2024 con- sid. 8.3.3).</w:t>
      </w:r>
    </w:p>
    <w:p>
      <w:r>
        <w:rPr>
          <w:b/>
        </w:rPr>
        <w:t>E. 8.1</w:t>
      </w:r>
    </w:p>
    <w:p>
      <w:r>
        <w:t>Il ressort de ce qui précède que, par sa décision du 28 octobre 2024, l’autorité inférieure n’a ni violé le droit fédéral, ni constaté des faits perti- nents de manière inexacte ou incomplète. En outre, cette décision n’est pas inopportune (art. 49 PA). Par conséquent, le recours est rejeté.</w:t>
      </w:r>
    </w:p>
    <w:p>
      <w:r>
        <w:rPr>
          <w:b/>
        </w:rPr>
        <w:t>E. 8.2</w:t>
      </w:r>
    </w:p>
    <w:p>
      <w:r>
        <w:t>Le recours étant d’emblée infondé, il est renoncé à un échange d’écri- tures (art. 57 al. 1 PA a contrario).</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t>F-7490/2024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