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F-747/2021 vom 18. August 2022</w:t>
      </w:r>
    </w:p>
    <w:p>
      <w:r>
        <w:t>Bundesverwaltungsgericht, 2022-08-18, FR</w:t>
      </w:r>
    </w:p>
    <w:p>
      <w:r>
        <w:rPr>
          <w:b/>
        </w:rPr>
        <w:t xml:space="preserve">Quelle: </w:t>
      </w:r>
      <w:r>
        <w:t>https://mcp.opencaselaw.ch/entscheid/bvger_F-747_2021</w:t>
      </w:r>
    </w:p>
    <w:p>
      <w:r>
        <w:t>FR: TAF F-747/2021 du 18 août 2022</w:t>
      </w:r>
    </w:p>
    <w:p>
      <w:r>
        <w:t>IT: TAF F-747/2021 del 18 agosto 2022</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informations le concernant ne rempliraient pas la condition de la pertinence vraisemblable. Il fait valoir en particulier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 requis des informations pour les autres 40'379 numéros techniques pour lesquels aucun recoupement n'avait pu être établi avec un contribuable français. Or, les autorités de ce pays auraient dû procéder à un contrôle dans la mesure où l'attribution du code « domizil » à un numéro de compte était aléatoire et qu'aucune explication ne permettait d'établir la véracité de ce code et les modalités de son attribution à un compte, respectivement à un contribuable. Ainsi, en sollicitant sur cette base des informations au sujet d'environ 40'000 numéros techniques sans être en mesure d'identifier un titulaire, l'Etat requérant aurait excédé le cadre de l'échange de renseignements. Le procédé utilisé par les autorités françaises reposerait ainsi sur des données aléatoires dépourvues de fiabilité - en particulier par rapport au domicile de la personne concernée - en vue d'obtenir des renseignements sur un grand nombre de contribuables. Dès lors, l'Etat requérant aurait violé le principe de proportionnalité en procédant à une « pêche aux renseignements ». Par ailleurs, le recourant soutient que la demande du 11 mai 2016 constituerait une pêche aux renseignements proscrite sous l'angle temporel, dès lors que les listes B et C - sur lesquelles se fondent ladite demande - datent de 2006 et 2008, soit plusieurs années avant le début de la période pour laquelle les renseignements sont demandés, à savoir 2010 à 2015. Selon le recourant, l'autorité requérante ne disposerait d'aucun élément rendant vraisemblable que les personnes qui détenaient un compte entre 2006 et 2008 en possédaient encore un durant la période sous contrôle.</w:t>
      </w:r>
    </w:p>
    <w:p>
      <w:r>
        <w:rPr>
          <w:b/>
        </w:rPr>
        <w:t>E. 5.1.2</w:t>
      </w:r>
    </w:p>
    <w:p>
      <w:r>
        <w:t>En l'occurrence, dans l'ATF 146 II 150, le Tribunal fédéral a jugé d'une manière qui lie la Cour de céans (cf. consid. 1.4.3 ci-avant)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4.1 supra) - répondait aux trois critères développés par la jurisprudence en lien avec les demandes groupées, applicables par analogie aux « demandes collectives », permettant d'exclure l'existence d'une fishing expedition (cf. consid. 2.5.2 ci-avant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Il sied encore de relever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w:t>
      </w:r>
    </w:p>
    <w:p>
      <w:r>
        <w:rPr>
          <w:b/>
        </w:rPr>
        <w:t>E. 5.1.4</w:t>
      </w:r>
    </w:p>
    <w:p>
      <w:r>
        <w:t>Par ailleurs,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B._______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w:t>
      </w:r>
    </w:p>
    <w:p>
      <w:r>
        <w:rPr>
          <w:b/>
        </w:rPr>
        <w:t>E. 5.1.5</w:t>
      </w:r>
    </w:p>
    <w:p>
      <w:r>
        <w:t>Dès lors que la requête de l'autorité française ne constitue pas une « fishing expedition », que les renseignements requis et à transmettre respectent strictement le principe de la pertinence vraisemblable, le principe de proportionnalité (tel que concrétisé dans le domaine de l'assistance administrative en matière fiscale notamment par les éléments précités) doit être considéré en l'espèce comme respecté (cf. arrêt du TAF A-3045/2020 du 29 mars 2021 consid. 5.1.3).</w:t>
      </w:r>
    </w:p>
    <w:p>
      <w:r>
        <w:rPr>
          <w:b/>
        </w:rPr>
        <w:t>E. 5.1.6</w:t>
      </w:r>
    </w:p>
    <w:p>
      <w:r>
        <w:t>Partant, le premier grief au fond invoqué par le recourant doit être rejeté.</w:t>
      </w:r>
    </w:p>
    <w:p>
      <w:r>
        <w:rPr>
          <w:b/>
        </w:rPr>
        <w:t>E. 5.2.1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de l'examiner plus en détail dans la présente cause. A l'appui de son recours, l'intéressé avance que l'arrêt du TAF A-1534/2018 du 3 août 2020 ne permet pas de clarifier l'ensemble des circonstances factuelles ayant conduit à l'obtention par l'Etat requérant d'informations sur les relations bancaires d'un établissement suisse, de la présence de ces données hors de Suisse et à leur saisie. Un tel éclaircissement permettrait d'éviter que la transmission d'informations puisse contrevenir à l'art. 7 let. c LAAF.</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B._______ en mai 2012 et juillet 2013 ont abouti à la saisie de données concernant des contribuables français liés à des comptes ouverts auprès de la banque B._______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B._______ Deutschland AG à Francfort. Le serveur de sauvegarde comprenait des sauvegardes des ordinateurs des employés de B._______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B._______ dans le cadre de cette enquête, le Land allemand de Rhénanie du Nord-Westphalie aurait acheté en août 2012 un CD de données contenant les informations sur des clients enregistrés auprès de la banque B._______ en Suisse. Sur la base de ce CD de données, les autorités allemandes auraient mené des enquêtes contre de nombreux clients allemands de la banque B._______. C'est dans le cadre de ces enquêtes que le parquet de Bochum aurait procédé à diverses perquisitions au siège de B._______ Deutschland AG à Francfort et auprès d'autres sites de B._______ en Allemagne. Lors de la perquisition au siège de la banque B._______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B._______ dans le cadre de la présente procédure d'assistance administrative (cf. décision finale de l'AFC, ch. 6.4).</w:t>
      </w:r>
    </w:p>
    <w:p>
      <w:r>
        <w:rPr>
          <w:b/>
        </w:rPr>
        <w:t>E. 5.2.3</w:t>
      </w:r>
    </w:p>
    <w:p>
      <w:r>
        <w:t>La jurisprudence du Tribunal fédéral a certes mentionné l'existence d'un lien de causalité entre les données prétendument volées et la demande d'assistance administrative, dont se prévaut le recourant, comme critère permettant de démontrer l'absence de bonne foi de l'Etat requérant, lorsque celui-ci s'est engagé à ne pas former de demande sur la base de telles données. Toutefois,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B._______,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5.2.4</w:t>
      </w:r>
    </w:p>
    <w:p>
      <w:r>
        <w:t>Par conséquent, le grief tiré de la violation du principe de la bonne foi en lien avec l'utilisation de données volées doit être rejeté.</w:t>
      </w:r>
    </w:p>
    <w:p>
      <w:r>
        <w:rPr>
          <w:b/>
        </w:rPr>
        <w:t>E. 5.3.1</w:t>
      </w:r>
    </w:p>
    <w:p>
      <w:r>
        <w:t>Dans un troisième grief, le recourant avance que les principes de spécialité et de la confiance ne seraient pas respectés dans le cas d'espèce. Ainsi, il argue, en lien avec les courriers des 11 juillet 2017 et 14 janvier 2020, que les assurances recueillies par l'AFC auprès de la DGFiP concernant l'utilisation des données fiscales, issues de l'assistance administrative, seraient insuffisantes. Elles ne permettraient en rien de constater que lesdites données ne seraient pas utilisées par la France dans le cadre de toute autre procédure, notamment pénale, y compris contre des tiers.</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avait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F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B._______,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B._______. Toutefois, on ne saurait déduire a contrario que l'autorité requérante entendrait violer le principe de spécialité à l'égard du recourant. En effet, ni les éléments du dossier ni les affirmations du recourant - formulées de manière hypothétique - ne prouvent, ni même n'étayent, le fait prétendu que les informations le concernant pourraient être utilisées en violation du principe de spécialité. La garantie formulée par la DGFiP doit aussi être comprise à l'aune du caractère collectif de la demande qu'elle a présentée le 11 mai 2016 et concerne ainsi aussi des clients ou ex-clients de la banque B._______.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(cf. ATF 142 II 161 consid. 2.3). Dès lors, il y a lieu de considérer que les craintes du recourant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encore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(art. 28 par. 2 CDI-FR ; cf. ATF 147 II 13 consid. 3.4 ; 146 I 172 consid. 7.1.3 ; arrêt du TAF A-5522/2019 du 18 août 2020 consid. 3.4.3).</w:t>
      </w:r>
    </w:p>
    <w:p>
      <w:r>
        <w:rPr>
          <w:b/>
        </w:rPr>
        <w:t>E. 5.3.5</w:t>
      </w:r>
    </w:p>
    <w:p>
      <w:r>
        <w:t>En conséquence, le grief invoqué par le recourant doit être rejeté.</w:t>
      </w:r>
    </w:p>
    <w:p>
      <w:r>
        <w:rPr>
          <w:b/>
        </w:rPr>
        <w:t>E. 5.4.1</w:t>
      </w:r>
    </w:p>
    <w:p>
      <w:r>
        <w:t>Quant au grief relatif à la violation du principe de subsidiarité, le recourant invoque que l'Etat requérant a présenté dans un même document un état de fait général, sans aucune référence à des contrôles ou enquêtes en cours auprès de contribuables déterminés. Ainsi, les autorités françaises auraient été incapables de démontrer que, pour chaque demande individuelle, les sources habituelles de renseignement prévues par sa procédure fiscale interne ont été utilisées.</w:t>
      </w:r>
    </w:p>
    <w:p>
      <w:r>
        <w:rPr>
          <w:b/>
        </w:rPr>
        <w:t>E. 5.4.2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5.4.3</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le recourant.</w:t>
      </w:r>
    </w:p>
    <w:p>
      <w:r>
        <w:rPr>
          <w:b/>
        </w:rPr>
        <w:t>E. 5.4.4</w:t>
      </w:r>
    </w:p>
    <w:p>
      <w:r>
        <w:t>Sur le vu de ce qui précède, le respect du principe de subsidiarité doit être considéré comme donné.</w:t>
      </w:r>
    </w:p>
    <w:p>
      <w:r>
        <w:rPr>
          <w:b/>
        </w:rPr>
        <w:t>E. 6.1</w:t>
      </w:r>
    </w:p>
    <w:p>
      <w:r>
        <w:t>Vu les considérants qui précèdent, le recours est rejeté. Le recourant, qui succombe, doit supporter les frais de procédure, lesquels se montent, compte tenu de la charge de travail liée à la procédure, à 5'000 francs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